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F31A53"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F31A53"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F31A53" w:rsidP="0096666E">
      <w:pPr>
        <w:pStyle w:val="Standaard1"/>
        <w:jc w:val="center"/>
        <w:rPr>
          <w:rFonts w:ascii="Arial" w:hAnsi="Arial" w:cs="Arial"/>
        </w:rPr>
      </w:pPr>
      <w:r>
        <w:rPr>
          <w:rFonts w:ascii="Arial" w:hAnsi="Arial" w:cs="Arial"/>
        </w:rPr>
        <w:t>***************************************</w:t>
      </w:r>
    </w:p>
    <w:p w14:paraId="2D24D03A" w14:textId="77777777" w:rsidR="005500AC" w:rsidRDefault="00F31A53"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F31A53" w:rsidRPr="0033354C">
        <w:rPr>
          <w:rFonts w:ascii="Arial" w:hAnsi="Arial" w:cs="Arial"/>
          <w:noProof/>
          <w:lang w:val="nl-BE"/>
        </w:rPr>
        <w:t>voorzitter gemeenteraad</w:t>
      </w:r>
    </w:p>
    <w:p w14:paraId="16B74163" w14:textId="77777777" w:rsidR="00336403" w:rsidRPr="0033354C" w:rsidRDefault="00F31A53" w:rsidP="002B0D49">
      <w:pPr>
        <w:pStyle w:val="Standaard1"/>
        <w:rPr>
          <w:rFonts w:ascii="Arial" w:hAnsi="Arial" w:cs="Arial"/>
          <w:lang w:val="nl-BE"/>
        </w:rPr>
      </w:pPr>
      <w:r w:rsidRPr="0033354C">
        <w:rPr>
          <w:rFonts w:ascii="Arial" w:hAnsi="Arial" w:cs="Arial"/>
          <w:noProof/>
          <w:lang w:val="nl-BE"/>
        </w:rPr>
        <w:t>Ines Swaelens, burgemeester</w:t>
      </w:r>
    </w:p>
    <w:p w14:paraId="0F54404B" w14:textId="77777777" w:rsidR="00336403" w:rsidRPr="0033354C" w:rsidRDefault="00F31A53"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2E33421B" w14:textId="77777777" w:rsidR="00336403" w:rsidRPr="0033354C" w:rsidRDefault="00F31A53"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7F7BDCDF" w14:textId="77777777" w:rsidR="0096666E" w:rsidRDefault="00F31A53"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F31A53" w:rsidP="0096666E">
      <w:pPr>
        <w:pStyle w:val="Standaard1"/>
        <w:rPr>
          <w:rFonts w:ascii="Arial" w:hAnsi="Arial" w:cs="Arial"/>
          <w:u w:val="single"/>
        </w:rPr>
      </w:pPr>
      <w:r>
        <w:rPr>
          <w:rFonts w:ascii="Arial" w:hAnsi="Arial" w:cs="Arial"/>
        </w:rPr>
        <w:t xml:space="preserve">                                   </w:t>
      </w:r>
    </w:p>
    <w:p w14:paraId="2D24D03F" w14:textId="0418EC34" w:rsidR="0096666E" w:rsidRDefault="00F31A53"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F31A53" w:rsidRPr="0033354C">
        <w:rPr>
          <w:rFonts w:ascii="Arial" w:hAnsi="Arial" w:cs="Arial"/>
          <w:noProof/>
          <w:lang w:val="nl-BE"/>
        </w:rPr>
        <w:t>, raadslid</w:t>
      </w:r>
    </w:p>
    <w:p w14:paraId="2D24D041" w14:textId="77777777" w:rsidR="00F042CE" w:rsidRDefault="00F31A53" w:rsidP="00EB7E06">
      <w:pPr>
        <w:spacing w:after="0"/>
      </w:pPr>
      <w:r>
        <w:rPr>
          <w:noProof/>
          <w:lang w:eastAsia="nl-BE"/>
        </w:rPr>
        <mc:AlternateContent>
          <mc:Choice Requires="wps">
            <w:drawing>
              <wp:anchor distT="0" distB="0" distL="114300" distR="114300" simplePos="0" relativeHeight="251658240" behindDoc="0" locked="0" layoutInCell="1" allowOverlap="1" wp14:anchorId="137C2D79" wp14:editId="1DE93242">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336403" w14:paraId="2D24D044" w14:textId="77777777" w:rsidTr="00E82FA5">
        <w:trPr>
          <w:trHeight w:val="284"/>
        </w:trPr>
        <w:tc>
          <w:tcPr>
            <w:tcW w:w="380" w:type="dxa"/>
            <w:tcBorders>
              <w:top w:val="nil"/>
              <w:left w:val="nil"/>
              <w:bottom w:val="nil"/>
              <w:right w:val="nil"/>
            </w:tcBorders>
          </w:tcPr>
          <w:p w14:paraId="2D24D042" w14:textId="650FF2DF"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Gemeentebelasting met</w:t>
            </w:r>
            <w:r w:rsidR="00F31A53" w:rsidRPr="007B753D">
              <w:rPr>
                <w:b/>
                <w:bCs/>
                <w:noProof/>
              </w:rPr>
              <w:t xml:space="preserve"> betrekking tot de afgifte van vergunningsaanvragen en meldingen in het kader van de omgevingsvergunning 2026 - 2031</w:t>
            </w:r>
            <w:r w:rsidR="006C76DC" w:rsidRPr="007B753D">
              <w:rPr>
                <w:b/>
                <w:bCs/>
              </w:rPr>
              <w:t xml:space="preserve"> </w:t>
            </w:r>
          </w:p>
        </w:tc>
      </w:tr>
      <w:tr w:rsidR="00336403"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F31A53"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F31A53" w:rsidP="00D44A0A">
            <w:pPr>
              <w:rPr>
                <w:b/>
              </w:rPr>
            </w:pPr>
            <w:r>
              <w:rPr>
                <w:b/>
              </w:rPr>
              <w:t>Toelichting</w:t>
            </w:r>
          </w:p>
          <w:p w14:paraId="4DD559C3" w14:textId="77777777" w:rsidR="00336403" w:rsidRDefault="00F31A53" w:rsidP="00D44A0A">
            <w:pPr>
              <w:rPr>
                <w:noProof/>
              </w:rPr>
            </w:pPr>
            <w:r>
              <w:rPr>
                <w:noProof/>
              </w:rPr>
              <w:t>Aan het begin van elke legislatuur, voor het vaststellen van de meerjarenplanning, dienen de belastingen en retributies vastgesteld te worden. De afgifte van allerlei administratieve stukken in het kader van de VCRO, omgevingsvergunning en aanverwante wetgeving is dikwijls zeer arbeidsintensief en het is gepast hiervoor van de belanghebbenden een belasting te eisen.</w:t>
            </w:r>
          </w:p>
          <w:p w14:paraId="2D24D049" w14:textId="28678C04" w:rsidR="00FC46D9" w:rsidRPr="00FC46D9" w:rsidRDefault="00F31A53" w:rsidP="00D44A0A">
            <w:pPr>
              <w:rPr>
                <w:b/>
              </w:rPr>
            </w:pPr>
            <w:r w:rsidRPr="00FC46D9">
              <w:rPr>
                <w:b/>
              </w:rPr>
              <w:t>Bevoegdheid</w:t>
            </w:r>
          </w:p>
          <w:p w14:paraId="0CE16655" w14:textId="77777777" w:rsidR="00336403" w:rsidRDefault="00F31A53" w:rsidP="00536544">
            <w:pPr>
              <w:numPr>
                <w:ilvl w:val="0"/>
                <w:numId w:val="5"/>
              </w:numPr>
              <w:rPr>
                <w:noProof/>
              </w:rPr>
            </w:pPr>
            <w:r>
              <w:rPr>
                <w:noProof/>
              </w:rPr>
              <w:t>Decreet lokaal bestuur van 22 december 2025 - artikel 40 en 41 betreffende de bevoegdheden van de gemeenteraad</w:t>
            </w:r>
          </w:p>
          <w:p w14:paraId="3E1F9236" w14:textId="77777777" w:rsidR="00336403" w:rsidRDefault="00F31A53" w:rsidP="00536544">
            <w:pPr>
              <w:numPr>
                <w:ilvl w:val="0"/>
                <w:numId w:val="5"/>
              </w:numPr>
              <w:rPr>
                <w:noProof/>
              </w:rPr>
            </w:pPr>
            <w:r>
              <w:rPr>
                <w:noProof/>
              </w:rPr>
              <w:t>Grondwet - artikel 170 </w:t>
            </w:r>
          </w:p>
        </w:tc>
      </w:tr>
      <w:tr w:rsidR="00336403"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F31A53" w:rsidP="00DA2F10">
            <w:pPr>
              <w:rPr>
                <w:b/>
              </w:rPr>
            </w:pPr>
            <w:r>
              <w:rPr>
                <w:b/>
              </w:rPr>
              <w:t>Juridische grond</w:t>
            </w:r>
          </w:p>
          <w:p w14:paraId="5C38F875" w14:textId="77777777" w:rsidR="00336403" w:rsidRDefault="00F31A53" w:rsidP="00536544">
            <w:pPr>
              <w:numPr>
                <w:ilvl w:val="0"/>
                <w:numId w:val="6"/>
              </w:numPr>
              <w:rPr>
                <w:noProof/>
              </w:rPr>
            </w:pPr>
            <w:r>
              <w:rPr>
                <w:noProof/>
              </w:rPr>
              <w:t>Wetboek van inkomstenbelasting 1992 - artikel 464/1,1°</w:t>
            </w:r>
          </w:p>
          <w:p w14:paraId="10A08E5A" w14:textId="77777777" w:rsidR="00336403" w:rsidRDefault="00F31A53" w:rsidP="00536544">
            <w:pPr>
              <w:numPr>
                <w:ilvl w:val="0"/>
                <w:numId w:val="6"/>
              </w:numPr>
              <w:rPr>
                <w:noProof/>
              </w:rPr>
            </w:pPr>
            <w:r>
              <w:rPr>
                <w:noProof/>
              </w:rPr>
              <w:t>Decreet van 13 december 2023 - artikel 2.1.4.0.2 en artikel 3.1.0.0.4 houdende de Vlaamse Codex Fiscaliteit</w:t>
            </w:r>
          </w:p>
          <w:p w14:paraId="614004C6" w14:textId="2FE532D3" w:rsidR="00336403" w:rsidRDefault="00F31A53" w:rsidP="005713E3">
            <w:pPr>
              <w:numPr>
                <w:ilvl w:val="0"/>
                <w:numId w:val="6"/>
              </w:numPr>
              <w:rPr>
                <w:noProof/>
              </w:rPr>
            </w:pPr>
            <w:r>
              <w:rPr>
                <w:noProof/>
              </w:rPr>
              <w:t xml:space="preserve">Raadsbesluit van 30 mei 2024 betreffende de gemeentebelasting met betrekking tot de afgifte van vergunningsaanvragen en meldingen in het kader van de omgevingsvergunning (decreet van 25 april 2014) en aanverwante wetgeving – gecoördineerde versie </w:t>
            </w:r>
            <w:r>
              <w:rPr>
                <w:b/>
                <w:bCs/>
                <w:noProof/>
              </w:rPr>
              <w:t> </w:t>
            </w:r>
          </w:p>
        </w:tc>
      </w:tr>
      <w:tr w:rsidR="00336403"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F31A53" w:rsidP="00DA2F10">
            <w:pPr>
              <w:rPr>
                <w:b/>
              </w:rPr>
            </w:pPr>
            <w:r>
              <w:rPr>
                <w:b/>
              </w:rPr>
              <w:t>Considerans</w:t>
            </w:r>
          </w:p>
          <w:p w14:paraId="70040574" w14:textId="77777777" w:rsidR="00336403" w:rsidRDefault="00F31A53" w:rsidP="00536544">
            <w:pPr>
              <w:rPr>
                <w:noProof/>
              </w:rPr>
            </w:pPr>
            <w:r>
              <w:rPr>
                <w:noProof/>
              </w:rPr>
              <w:t>De afgifte van allerlei administratieve stukken in het kader van de VCRO, omgevingsvergunning en aanverwante wetgeving is dikwijls zeer arbeidsintensief en het is gepast hiervoor van de belanghebbenden een belasting te eisen.</w:t>
            </w:r>
          </w:p>
        </w:tc>
      </w:tr>
      <w:tr w:rsidR="00336403"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F31A53" w:rsidP="00020EEF">
            <w:pPr>
              <w:rPr>
                <w:b/>
              </w:rPr>
            </w:pPr>
            <w:r w:rsidRPr="00DA2F10">
              <w:rPr>
                <w:b/>
              </w:rPr>
              <w:t>Financiële impact</w:t>
            </w:r>
          </w:p>
          <w:p w14:paraId="3D48A3D2" w14:textId="56BC109A" w:rsidR="00336403" w:rsidRDefault="00F31A53" w:rsidP="005713E3">
            <w:pPr>
              <w:rPr>
                <w:noProof/>
              </w:rPr>
            </w:pPr>
            <w:r>
              <w:rPr>
                <w:noProof/>
              </w:rPr>
              <w:t>Voor haar algemene financiering heft de gemeente Ternat een belasting op afgifte van vergunningsaanvragen en meldingen in het kader van de omgevingsvergunning. De opbrengst van deze belasting wordt geraamd op € 117.222. De opbrengsten worden geboekt op jaarbudgetrekening JAAR/GBB/0020-00/7316000/GEMEENTE/CBS/IP-GEEN.</w:t>
            </w:r>
            <w:r>
              <w:rPr>
                <w:b/>
                <w:bCs/>
                <w:noProof/>
              </w:rPr>
              <w:t> </w:t>
            </w:r>
          </w:p>
        </w:tc>
      </w:tr>
      <w:tr w:rsidR="00336403"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F31A53" w:rsidP="00020EEF">
            <w:pPr>
              <w:rPr>
                <w:b/>
              </w:rPr>
            </w:pPr>
            <w:r>
              <w:rPr>
                <w:b/>
              </w:rPr>
              <w:t>Adviezen en voorstel</w:t>
            </w:r>
          </w:p>
          <w:p w14:paraId="26C18CE0" w14:textId="77777777" w:rsidR="00336403" w:rsidRDefault="00F31A53" w:rsidP="0010034E">
            <w:pPr>
              <w:numPr>
                <w:ilvl w:val="0"/>
                <w:numId w:val="7"/>
              </w:numPr>
              <w:rPr>
                <w:noProof/>
              </w:rPr>
            </w:pPr>
            <w:r>
              <w:rPr>
                <w:noProof/>
              </w:rPr>
              <w:t>Op voorstel van het college van burgemeester en schepenen in zitting van 25 november 2025</w:t>
            </w:r>
          </w:p>
          <w:p w14:paraId="324846DE" w14:textId="77777777" w:rsidR="005713E3" w:rsidRDefault="005713E3" w:rsidP="005713E3">
            <w:pPr>
              <w:rPr>
                <w:noProof/>
              </w:rPr>
            </w:pPr>
          </w:p>
          <w:p w14:paraId="62711836" w14:textId="77777777" w:rsidR="005713E3" w:rsidRDefault="005713E3" w:rsidP="005713E3">
            <w:pPr>
              <w:rPr>
                <w:noProof/>
              </w:rPr>
            </w:pPr>
          </w:p>
          <w:p w14:paraId="2D24D05B" w14:textId="77777777" w:rsidR="00253769" w:rsidRPr="00DA2F10" w:rsidRDefault="00F31A53" w:rsidP="00253769">
            <w:pPr>
              <w:rPr>
                <w:b/>
              </w:rPr>
            </w:pPr>
            <w:r>
              <w:rPr>
                <w:b/>
              </w:rPr>
              <w:lastRenderedPageBreak/>
              <w:t>Stemming</w:t>
            </w:r>
          </w:p>
          <w:p w14:paraId="09DBE89D" w14:textId="6DE2B199" w:rsidR="0070399E" w:rsidRPr="008B2969" w:rsidRDefault="0041202F" w:rsidP="0070399E">
            <w:pPr>
              <w:rPr>
                <w:bCs/>
                <w:noProof/>
              </w:rPr>
            </w:pPr>
            <w:r>
              <w:rPr>
                <w:bCs/>
                <w:noProof/>
              </w:rPr>
              <w:t>Met 13</w:t>
            </w:r>
            <w:r w:rsidR="00F31A53"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stemmen tegen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336403"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F31A53" w:rsidP="00DA2F10">
            <w:pPr>
              <w:rPr>
                <w:b/>
              </w:rPr>
            </w:pPr>
            <w:r>
              <w:rPr>
                <w:b/>
              </w:rPr>
              <w:t>Besluit</w:t>
            </w:r>
          </w:p>
          <w:p w14:paraId="6A464231" w14:textId="77777777" w:rsidR="00336403" w:rsidRDefault="00F31A53" w:rsidP="0010034E">
            <w:pPr>
              <w:rPr>
                <w:noProof/>
              </w:rPr>
            </w:pPr>
            <w:r>
              <w:rPr>
                <w:b/>
                <w:bCs/>
                <w:noProof/>
              </w:rPr>
              <w:t>Belastbaar voorwerp</w:t>
            </w:r>
          </w:p>
          <w:p w14:paraId="24664352" w14:textId="77777777" w:rsidR="00336403" w:rsidRDefault="00F31A53" w:rsidP="0010034E">
            <w:pPr>
              <w:rPr>
                <w:noProof/>
              </w:rPr>
            </w:pPr>
            <w:r>
              <w:rPr>
                <w:noProof/>
                <w:u w:val="single"/>
              </w:rPr>
              <w:t>Artikel 1.</w:t>
            </w:r>
            <w:r>
              <w:rPr>
                <w:noProof/>
              </w:rPr>
              <w:t xml:space="preserve"> De gemeente Ternat heft met ingang van 1 januari 2026 en voor een termijn eindigend op 31 december 2031 een belasting op de meldingen en aanvragen bedoeld in het decreet van 25 april 2014 betreffende de omgevingsvergunning (B.S. 23 oktober 2014), de Vlaamse Codex Ruimtelijke Ordening van 15 mei 2009 (VCRO), het decreet van 5 april 1995 houdende algemene bepalingen inzake milieubeleid (DABM) en de daarbij horende besluiten.</w:t>
            </w:r>
          </w:p>
          <w:p w14:paraId="02315B63" w14:textId="77777777" w:rsidR="00336403" w:rsidRDefault="00F31A53" w:rsidP="0010034E">
            <w:pPr>
              <w:rPr>
                <w:noProof/>
              </w:rPr>
            </w:pPr>
            <w:r>
              <w:rPr>
                <w:b/>
                <w:bCs/>
                <w:noProof/>
              </w:rPr>
              <w:t>Belastingplichtige</w:t>
            </w:r>
          </w:p>
          <w:p w14:paraId="3A8B9A17" w14:textId="77777777" w:rsidR="00336403" w:rsidRDefault="00F31A53" w:rsidP="0010034E">
            <w:pPr>
              <w:rPr>
                <w:noProof/>
              </w:rPr>
            </w:pPr>
            <w:r>
              <w:rPr>
                <w:noProof/>
                <w:u w:val="single"/>
              </w:rPr>
              <w:t>Artikel 2.</w:t>
            </w:r>
            <w:r>
              <w:rPr>
                <w:noProof/>
              </w:rPr>
              <w:t xml:space="preserve"> De belasting is verschuldigd door de natuurlijke persoon of rechtspersoon die de aanvraag of melding heeft ingediend en bij gebreke daarvan de vergunninghouder of exploitant.</w:t>
            </w:r>
          </w:p>
          <w:p w14:paraId="18A335E2" w14:textId="77777777" w:rsidR="00336403" w:rsidRDefault="00F31A53" w:rsidP="0010034E">
            <w:pPr>
              <w:rPr>
                <w:noProof/>
              </w:rPr>
            </w:pPr>
            <w:r>
              <w:rPr>
                <w:b/>
                <w:bCs/>
                <w:noProof/>
              </w:rPr>
              <w:t>Berekeningswijze en tarief</w:t>
            </w:r>
          </w:p>
          <w:p w14:paraId="4856DB32" w14:textId="77777777" w:rsidR="00336403" w:rsidRDefault="00F31A53" w:rsidP="0010034E">
            <w:pPr>
              <w:rPr>
                <w:noProof/>
              </w:rPr>
            </w:pPr>
            <w:r>
              <w:rPr>
                <w:noProof/>
                <w:u w:val="single"/>
              </w:rPr>
              <w:t>Artikel 3.</w:t>
            </w:r>
            <w:r>
              <w:rPr>
                <w:noProof/>
              </w:rPr>
              <w:t xml:space="preserve"> 1. De belasting is verschuldigd ongeacht het bestuursniveau waar de aanvraag of melding van de omgevingsvergunning wordt gedaan en ongeacht het bestuursniveau dat dient te beslissen.</w:t>
            </w:r>
          </w:p>
          <w:tbl>
            <w:tblPr>
              <w:tblStyle w:val="table"/>
              <w:tblW w:w="15000" w:type="dxa"/>
              <w:tblLayout w:type="fixed"/>
              <w:tblCellMar>
                <w:left w:w="0" w:type="dxa"/>
                <w:right w:w="0" w:type="dxa"/>
              </w:tblCellMar>
              <w:tblLook w:val="05E0" w:firstRow="1" w:lastRow="1" w:firstColumn="1" w:lastColumn="1" w:noHBand="0" w:noVBand="1"/>
            </w:tblPr>
            <w:tblGrid>
              <w:gridCol w:w="15000"/>
            </w:tblGrid>
            <w:tr w:rsidR="00336403" w14:paraId="4584B881" w14:textId="77777777">
              <w:tc>
                <w:tcPr>
                  <w:tcW w:w="14725" w:type="dxa"/>
                  <w:tcMar>
                    <w:top w:w="0" w:type="dxa"/>
                    <w:left w:w="0" w:type="dxa"/>
                    <w:bottom w:w="0" w:type="dxa"/>
                    <w:right w:w="0" w:type="dxa"/>
                  </w:tcMar>
                  <w:hideMark/>
                </w:tcPr>
                <w:p w14:paraId="4723DA91" w14:textId="77777777" w:rsidR="00336403" w:rsidRDefault="00F31A53" w:rsidP="0010034E">
                  <w:pPr>
                    <w:rPr>
                      <w:noProof/>
                    </w:rPr>
                  </w:pPr>
                  <w:r>
                    <w:rPr>
                      <w:noProof/>
                    </w:rPr>
                    <w:t> </w:t>
                  </w:r>
                </w:p>
              </w:tc>
            </w:tr>
            <w:tr w:rsidR="00336403" w14:paraId="76651DFD" w14:textId="77777777">
              <w:tc>
                <w:tcPr>
                  <w:tcW w:w="14725" w:type="dxa"/>
                  <w:tcMar>
                    <w:top w:w="0" w:type="dxa"/>
                    <w:left w:w="0" w:type="dxa"/>
                    <w:bottom w:w="0" w:type="dxa"/>
                    <w:right w:w="0" w:type="dxa"/>
                  </w:tcMar>
                  <w:hideMark/>
                </w:tcPr>
                <w:p w14:paraId="0FA6FFD0" w14:textId="77777777" w:rsidR="00336403" w:rsidRDefault="00F31A53" w:rsidP="0010034E">
                  <w:pPr>
                    <w:rPr>
                      <w:noProof/>
                    </w:rPr>
                  </w:pPr>
                  <w:r>
                    <w:rPr>
                      <w:noProof/>
                    </w:rPr>
                    <w:t> </w:t>
                  </w:r>
                </w:p>
                <w:tbl>
                  <w:tblPr>
                    <w:tblStyle w:val="table"/>
                    <w:tblW w:w="0" w:type="auto"/>
                    <w:tblInd w:w="192"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5E0" w:firstRow="1" w:lastRow="1" w:firstColumn="1" w:lastColumn="1" w:noHBand="0" w:noVBand="1"/>
                  </w:tblPr>
                  <w:tblGrid>
                    <w:gridCol w:w="4545"/>
                    <w:gridCol w:w="3585"/>
                  </w:tblGrid>
                  <w:tr w:rsidR="00336403" w14:paraId="689C2A76" w14:textId="77777777" w:rsidTr="005713E3">
                    <w:tc>
                      <w:tcPr>
                        <w:tcW w:w="4545" w:type="dxa"/>
                        <w:tcBorders>
                          <w:bottom w:val="inset" w:sz="6" w:space="0" w:color="808080"/>
                          <w:right w:val="inset" w:sz="6" w:space="0" w:color="808080"/>
                        </w:tcBorders>
                        <w:tcMar>
                          <w:top w:w="0" w:type="dxa"/>
                          <w:left w:w="0" w:type="dxa"/>
                          <w:bottom w:w="0" w:type="dxa"/>
                          <w:right w:w="0" w:type="dxa"/>
                        </w:tcMar>
                        <w:hideMark/>
                      </w:tcPr>
                      <w:p w14:paraId="14B084F7" w14:textId="77777777" w:rsidR="00336403" w:rsidRDefault="00F31A53" w:rsidP="0010034E">
                        <w:pPr>
                          <w:rPr>
                            <w:noProof/>
                          </w:rPr>
                        </w:pPr>
                        <w:r>
                          <w:rPr>
                            <w:b/>
                            <w:bCs/>
                            <w:noProof/>
                          </w:rPr>
                          <w:t>De belasting wordt, voor het aanslagjaar 2026, als volgt vastgesteld:</w:t>
                        </w:r>
                      </w:p>
                    </w:tc>
                    <w:tc>
                      <w:tcPr>
                        <w:tcW w:w="3585" w:type="dxa"/>
                        <w:tcBorders>
                          <w:left w:val="inset" w:sz="6" w:space="0" w:color="808080"/>
                          <w:bottom w:val="inset" w:sz="6" w:space="0" w:color="808080"/>
                        </w:tcBorders>
                        <w:tcMar>
                          <w:top w:w="0" w:type="dxa"/>
                          <w:left w:w="0" w:type="dxa"/>
                          <w:bottom w:w="0" w:type="dxa"/>
                          <w:right w:w="0" w:type="dxa"/>
                        </w:tcMar>
                        <w:hideMark/>
                      </w:tcPr>
                      <w:p w14:paraId="52E9A643" w14:textId="77777777" w:rsidR="00336403" w:rsidRDefault="00F31A53" w:rsidP="0010034E">
                        <w:pPr>
                          <w:rPr>
                            <w:noProof/>
                          </w:rPr>
                        </w:pPr>
                        <w:r>
                          <w:rPr>
                            <w:b/>
                            <w:bCs/>
                            <w:noProof/>
                          </w:rPr>
                          <w:t> Tarief</w:t>
                        </w:r>
                      </w:p>
                    </w:tc>
                  </w:tr>
                  <w:tr w:rsidR="00336403" w14:paraId="18A3E19E"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4A15CDB4" w14:textId="77777777" w:rsidR="00336403" w:rsidRDefault="00F31A53" w:rsidP="0010034E">
                        <w:pPr>
                          <w:rPr>
                            <w:noProof/>
                          </w:rPr>
                        </w:pPr>
                        <w:r>
                          <w:rPr>
                            <w:noProof/>
                          </w:rPr>
                          <w:t>Aanvraag van een omgevingsvergunning – gewone procedure (art. 18 e.v. DOV)</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41814E41" w14:textId="77777777" w:rsidR="00336403" w:rsidRDefault="00F31A53" w:rsidP="0010034E">
                        <w:pPr>
                          <w:rPr>
                            <w:noProof/>
                          </w:rPr>
                        </w:pPr>
                        <w:r>
                          <w:rPr>
                            <w:noProof/>
                          </w:rPr>
                          <w:t> € 200</w:t>
                        </w:r>
                      </w:p>
                    </w:tc>
                  </w:tr>
                  <w:tr w:rsidR="00336403" w14:paraId="0065FED5"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6213213F" w14:textId="77777777" w:rsidR="00336403" w:rsidRDefault="00F31A53" w:rsidP="0010034E">
                        <w:pPr>
                          <w:numPr>
                            <w:ilvl w:val="0"/>
                            <w:numId w:val="8"/>
                          </w:numPr>
                          <w:rPr>
                            <w:noProof/>
                          </w:rPr>
                        </w:pPr>
                        <w:r>
                          <w:rPr>
                            <w:noProof/>
                          </w:rPr>
                          <w:t>Bijkomend: kosten gewone of beveiligde zendingen individuele kennisgevingen i.k.v. openbaar onderzoek (art. 23 BOV)</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12EF463B" w14:textId="77777777" w:rsidR="00336403" w:rsidRDefault="00F31A53" w:rsidP="0010034E">
                        <w:pPr>
                          <w:rPr>
                            <w:noProof/>
                          </w:rPr>
                        </w:pPr>
                        <w:r>
                          <w:rPr>
                            <w:noProof/>
                          </w:rPr>
                          <w:t> Kosten voor de (aangetekende) zendingen</w:t>
                        </w:r>
                      </w:p>
                    </w:tc>
                  </w:tr>
                  <w:tr w:rsidR="00336403" w14:paraId="1B38EE8F"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63EDEA19" w14:textId="77777777" w:rsidR="00336403" w:rsidRDefault="00F31A53" w:rsidP="0010034E">
                        <w:pPr>
                          <w:numPr>
                            <w:ilvl w:val="0"/>
                            <w:numId w:val="9"/>
                          </w:numPr>
                          <w:rPr>
                            <w:noProof/>
                          </w:rPr>
                        </w:pPr>
                        <w:r>
                          <w:rPr>
                            <w:noProof/>
                          </w:rPr>
                          <w:t>Bijkomend: kosten publicatie in een dag- of weekblad i.h.k.v. openbaar onderzoek (art. 22 BOV)</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393AAE2E" w14:textId="77777777" w:rsidR="00336403" w:rsidRDefault="00F31A53" w:rsidP="0010034E">
                        <w:pPr>
                          <w:rPr>
                            <w:noProof/>
                          </w:rPr>
                        </w:pPr>
                        <w:r>
                          <w:rPr>
                            <w:noProof/>
                          </w:rPr>
                          <w:t> Publicatiekosten</w:t>
                        </w:r>
                      </w:p>
                    </w:tc>
                  </w:tr>
                  <w:tr w:rsidR="00336403" w14:paraId="01B61A36"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7224A13D" w14:textId="77777777" w:rsidR="00336403" w:rsidRDefault="00F31A53" w:rsidP="0010034E">
                        <w:pPr>
                          <w:numPr>
                            <w:ilvl w:val="0"/>
                            <w:numId w:val="10"/>
                          </w:numPr>
                          <w:rPr>
                            <w:noProof/>
                          </w:rPr>
                        </w:pPr>
                        <w:r>
                          <w:rPr>
                            <w:noProof/>
                          </w:rPr>
                          <w:t>Bijkomend: kosten informatievergadering i.k.v. openbaar onderzoek (art. 25 BOV)</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024A9155" w14:textId="77777777" w:rsidR="00336403" w:rsidRDefault="00F31A53" w:rsidP="0010034E">
                        <w:pPr>
                          <w:rPr>
                            <w:noProof/>
                          </w:rPr>
                        </w:pPr>
                        <w:r>
                          <w:rPr>
                            <w:noProof/>
                          </w:rPr>
                          <w:t> € 1.000</w:t>
                        </w:r>
                      </w:p>
                    </w:tc>
                  </w:tr>
                  <w:tr w:rsidR="00336403" w14:paraId="14990828"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4218432A" w14:textId="77777777" w:rsidR="00336403" w:rsidRDefault="00F31A53" w:rsidP="0010034E">
                        <w:pPr>
                          <w:rPr>
                            <w:noProof/>
                          </w:rPr>
                        </w:pPr>
                        <w:r>
                          <w:rPr>
                            <w:noProof/>
                          </w:rPr>
                          <w:t>Aanvraag van een omgevingsvergunning – vereenvoudigde procedure (art. 37 e.v. DOV)</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37D57FEA" w14:textId="77777777" w:rsidR="00336403" w:rsidRDefault="00F31A53" w:rsidP="0010034E">
                        <w:pPr>
                          <w:rPr>
                            <w:noProof/>
                          </w:rPr>
                        </w:pPr>
                        <w:r>
                          <w:rPr>
                            <w:noProof/>
                          </w:rPr>
                          <w:t> € 150</w:t>
                        </w:r>
                      </w:p>
                    </w:tc>
                  </w:tr>
                  <w:tr w:rsidR="00336403" w14:paraId="6B2F396D"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4DDA9955" w14:textId="77777777" w:rsidR="00336403" w:rsidRDefault="00F31A53" w:rsidP="0010034E">
                        <w:pPr>
                          <w:numPr>
                            <w:ilvl w:val="0"/>
                            <w:numId w:val="11"/>
                          </w:numPr>
                          <w:rPr>
                            <w:noProof/>
                          </w:rPr>
                        </w:pPr>
                        <w:r>
                          <w:rPr>
                            <w:noProof/>
                          </w:rPr>
                          <w:t>Bijkomend: kosten beveiligde zending i.k.v. standpunt van de eigenaars van de aanpalende percelen. (art. 83 BOV)</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56393190" w14:textId="77777777" w:rsidR="00336403" w:rsidRDefault="00F31A53" w:rsidP="0010034E">
                        <w:pPr>
                          <w:rPr>
                            <w:noProof/>
                          </w:rPr>
                        </w:pPr>
                        <w:r>
                          <w:rPr>
                            <w:noProof/>
                          </w:rPr>
                          <w:t> Kosten voor de aangetekende zendingen</w:t>
                        </w:r>
                      </w:p>
                    </w:tc>
                  </w:tr>
                  <w:tr w:rsidR="00336403" w14:paraId="1D9C8692"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0DBAFBD1" w14:textId="77777777" w:rsidR="00336403" w:rsidRDefault="00F31A53" w:rsidP="0010034E">
                        <w:pPr>
                          <w:rPr>
                            <w:noProof/>
                          </w:rPr>
                        </w:pPr>
                        <w:r>
                          <w:rPr>
                            <w:noProof/>
                          </w:rPr>
                          <w:t>Melding omgevingsproject (art. 106 e.v. DOV)</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595B4615" w14:textId="77777777" w:rsidR="00336403" w:rsidRDefault="00F31A53" w:rsidP="0010034E">
                        <w:pPr>
                          <w:rPr>
                            <w:noProof/>
                          </w:rPr>
                        </w:pPr>
                        <w:r>
                          <w:rPr>
                            <w:noProof/>
                          </w:rPr>
                          <w:t> € 100</w:t>
                        </w:r>
                      </w:p>
                    </w:tc>
                  </w:tr>
                  <w:tr w:rsidR="00336403" w14:paraId="4A8612DF"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18E35AF2" w14:textId="77777777" w:rsidR="00336403" w:rsidRDefault="00F31A53" w:rsidP="0010034E">
                        <w:pPr>
                          <w:rPr>
                            <w:noProof/>
                          </w:rPr>
                        </w:pPr>
                        <w:r>
                          <w:rPr>
                            <w:noProof/>
                          </w:rPr>
                          <w:t>Melding van de overdracht van de vergunning voor een ingedeelde inrichting of activiteit (art. 79 DOV)</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6524A976" w14:textId="77777777" w:rsidR="00336403" w:rsidRDefault="00F31A53" w:rsidP="0010034E">
                        <w:pPr>
                          <w:rPr>
                            <w:noProof/>
                          </w:rPr>
                        </w:pPr>
                        <w:r>
                          <w:rPr>
                            <w:noProof/>
                          </w:rPr>
                          <w:t> € 100</w:t>
                        </w:r>
                      </w:p>
                    </w:tc>
                  </w:tr>
                  <w:tr w:rsidR="00336403" w14:paraId="388AACB5"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148ECA48" w14:textId="77777777" w:rsidR="00336403" w:rsidRDefault="00F31A53" w:rsidP="0010034E">
                        <w:pPr>
                          <w:rPr>
                            <w:noProof/>
                          </w:rPr>
                        </w:pPr>
                        <w:r>
                          <w:rPr>
                            <w:noProof/>
                          </w:rPr>
                          <w:t>Afstand van de omgevingsvergunning voor het verkavelen van gronden (art. 104 DOV)</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44F2FAC2" w14:textId="77777777" w:rsidR="00336403" w:rsidRDefault="00F31A53" w:rsidP="0010034E">
                        <w:pPr>
                          <w:rPr>
                            <w:noProof/>
                          </w:rPr>
                        </w:pPr>
                        <w:r>
                          <w:rPr>
                            <w:noProof/>
                          </w:rPr>
                          <w:t> € 100</w:t>
                        </w:r>
                      </w:p>
                    </w:tc>
                  </w:tr>
                  <w:tr w:rsidR="00336403" w14:paraId="77479B87"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3B10797D" w14:textId="77777777" w:rsidR="00336403" w:rsidRDefault="00F31A53" w:rsidP="0010034E">
                        <w:pPr>
                          <w:rPr>
                            <w:noProof/>
                          </w:rPr>
                        </w:pPr>
                        <w:r>
                          <w:rPr>
                            <w:noProof/>
                          </w:rPr>
                          <w:t>Aanvraag voor het houden van een projectvergadering (art. 8 DOV)</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0211932B" w14:textId="77777777" w:rsidR="00336403" w:rsidRDefault="00F31A53" w:rsidP="0010034E">
                        <w:pPr>
                          <w:rPr>
                            <w:noProof/>
                          </w:rPr>
                        </w:pPr>
                        <w:r>
                          <w:rPr>
                            <w:noProof/>
                          </w:rPr>
                          <w:t> € 2.000</w:t>
                        </w:r>
                      </w:p>
                    </w:tc>
                  </w:tr>
                  <w:tr w:rsidR="00336403" w14:paraId="5F7F6206"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1126921E" w14:textId="77777777" w:rsidR="00336403" w:rsidRDefault="00F31A53" w:rsidP="0010034E">
                        <w:pPr>
                          <w:rPr>
                            <w:noProof/>
                          </w:rPr>
                        </w:pPr>
                        <w:r>
                          <w:rPr>
                            <w:noProof/>
                          </w:rPr>
                          <w:lastRenderedPageBreak/>
                          <w:t>Aanvraag stedenbouwkundig attest (art. 5.3.1.VCRO)</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0FC04E0F" w14:textId="77777777" w:rsidR="00336403" w:rsidRDefault="00F31A53" w:rsidP="0010034E">
                        <w:pPr>
                          <w:rPr>
                            <w:noProof/>
                          </w:rPr>
                        </w:pPr>
                        <w:r>
                          <w:rPr>
                            <w:noProof/>
                          </w:rPr>
                          <w:t>€ 150</w:t>
                        </w:r>
                      </w:p>
                    </w:tc>
                  </w:tr>
                  <w:tr w:rsidR="00336403" w14:paraId="2CD6C428"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34E07272" w14:textId="77777777" w:rsidR="00336403" w:rsidRDefault="00F31A53" w:rsidP="0010034E">
                        <w:pPr>
                          <w:rPr>
                            <w:noProof/>
                          </w:rPr>
                        </w:pPr>
                        <w:r>
                          <w:rPr>
                            <w:noProof/>
                          </w:rPr>
                          <w:t>Aanvraag planologisch attest (art. 4.4.25 e.v. VCRO)</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21935955" w14:textId="77777777" w:rsidR="00336403" w:rsidRDefault="00F31A53" w:rsidP="0010034E">
                        <w:pPr>
                          <w:rPr>
                            <w:noProof/>
                          </w:rPr>
                        </w:pPr>
                        <w:r>
                          <w:rPr>
                            <w:noProof/>
                          </w:rPr>
                          <w:t> € 10.000</w:t>
                        </w:r>
                      </w:p>
                    </w:tc>
                  </w:tr>
                  <w:tr w:rsidR="00336403" w14:paraId="39CA2B22"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463007CD" w14:textId="77777777" w:rsidR="00336403" w:rsidRDefault="00F31A53" w:rsidP="0010034E">
                        <w:pPr>
                          <w:rPr>
                            <w:noProof/>
                          </w:rPr>
                        </w:pPr>
                        <w:r>
                          <w:rPr>
                            <w:noProof/>
                          </w:rPr>
                          <w:t>Advies inzake verdeling van een onroerend goed zonder dat een omgevingsvergunning voor het verkavelen van gronden is afgegeven (art. 5.2.2. VCRO)</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3BA81213" w14:textId="77777777" w:rsidR="00336403" w:rsidRDefault="00F31A53" w:rsidP="0010034E">
                        <w:pPr>
                          <w:rPr>
                            <w:noProof/>
                          </w:rPr>
                        </w:pPr>
                        <w:r>
                          <w:rPr>
                            <w:noProof/>
                          </w:rPr>
                          <w:t> € 100</w:t>
                        </w:r>
                      </w:p>
                    </w:tc>
                  </w:tr>
                  <w:tr w:rsidR="00336403" w14:paraId="68213BA9"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1BE59517" w14:textId="77777777" w:rsidR="00336403" w:rsidRDefault="00F31A53" w:rsidP="0010034E">
                        <w:pPr>
                          <w:rPr>
                            <w:noProof/>
                          </w:rPr>
                        </w:pPr>
                        <w:r>
                          <w:rPr>
                            <w:noProof/>
                          </w:rPr>
                          <w:t>Aanvraag attest voor verkavelingsakte (art. 4.2.16. VCRO)</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51954FBF" w14:textId="77777777" w:rsidR="00336403" w:rsidRDefault="00F31A53" w:rsidP="0010034E">
                        <w:pPr>
                          <w:rPr>
                            <w:noProof/>
                          </w:rPr>
                        </w:pPr>
                        <w:r>
                          <w:rPr>
                            <w:noProof/>
                          </w:rPr>
                          <w:t> € 200</w:t>
                        </w:r>
                      </w:p>
                    </w:tc>
                  </w:tr>
                  <w:tr w:rsidR="00336403" w14:paraId="1C96F281" w14:textId="77777777" w:rsidTr="005713E3">
                    <w:tc>
                      <w:tcPr>
                        <w:tcW w:w="4545" w:type="dxa"/>
                        <w:tcBorders>
                          <w:top w:val="inset" w:sz="6" w:space="0" w:color="808080"/>
                          <w:bottom w:val="inset" w:sz="6" w:space="0" w:color="808080"/>
                          <w:right w:val="inset" w:sz="6" w:space="0" w:color="808080"/>
                        </w:tcBorders>
                        <w:tcMar>
                          <w:top w:w="0" w:type="dxa"/>
                          <w:left w:w="0" w:type="dxa"/>
                          <w:bottom w:w="0" w:type="dxa"/>
                          <w:right w:w="0" w:type="dxa"/>
                        </w:tcMar>
                        <w:hideMark/>
                      </w:tcPr>
                      <w:p w14:paraId="5DFAA419" w14:textId="77777777" w:rsidR="00336403" w:rsidRDefault="00F31A53" w:rsidP="0010034E">
                        <w:pPr>
                          <w:rPr>
                            <w:noProof/>
                          </w:rPr>
                        </w:pPr>
                        <w:r>
                          <w:rPr>
                            <w:noProof/>
                          </w:rPr>
                          <w:t>Vraag tot opname in het vergunningenregister als “vergund geacht” door het college van burgemeester en schepenen (art. 5.1.3. VCRO)</w:t>
                        </w:r>
                      </w:p>
                    </w:tc>
                    <w:tc>
                      <w:tcPr>
                        <w:tcW w:w="3585" w:type="dxa"/>
                        <w:tcBorders>
                          <w:top w:val="inset" w:sz="6" w:space="0" w:color="808080"/>
                          <w:left w:val="inset" w:sz="6" w:space="0" w:color="808080"/>
                          <w:bottom w:val="inset" w:sz="6" w:space="0" w:color="808080"/>
                        </w:tcBorders>
                        <w:tcMar>
                          <w:top w:w="0" w:type="dxa"/>
                          <w:left w:w="0" w:type="dxa"/>
                          <w:bottom w:w="0" w:type="dxa"/>
                          <w:right w:w="0" w:type="dxa"/>
                        </w:tcMar>
                        <w:hideMark/>
                      </w:tcPr>
                      <w:p w14:paraId="73764DE3" w14:textId="77777777" w:rsidR="00336403" w:rsidRDefault="00F31A53" w:rsidP="0010034E">
                        <w:pPr>
                          <w:rPr>
                            <w:noProof/>
                          </w:rPr>
                        </w:pPr>
                        <w:r>
                          <w:rPr>
                            <w:noProof/>
                          </w:rPr>
                          <w:t> € 200</w:t>
                        </w:r>
                      </w:p>
                    </w:tc>
                  </w:tr>
                  <w:tr w:rsidR="00336403" w14:paraId="6460ED82" w14:textId="77777777" w:rsidTr="005713E3">
                    <w:tc>
                      <w:tcPr>
                        <w:tcW w:w="4545" w:type="dxa"/>
                        <w:tcBorders>
                          <w:top w:val="inset" w:sz="6" w:space="0" w:color="808080"/>
                          <w:right w:val="inset" w:sz="6" w:space="0" w:color="808080"/>
                        </w:tcBorders>
                        <w:tcMar>
                          <w:top w:w="0" w:type="dxa"/>
                          <w:left w:w="0" w:type="dxa"/>
                          <w:bottom w:w="0" w:type="dxa"/>
                          <w:right w:w="0" w:type="dxa"/>
                        </w:tcMar>
                        <w:hideMark/>
                      </w:tcPr>
                      <w:p w14:paraId="65E20E36" w14:textId="77777777" w:rsidR="00336403" w:rsidRDefault="00F31A53" w:rsidP="0010034E">
                        <w:pPr>
                          <w:rPr>
                            <w:noProof/>
                          </w:rPr>
                        </w:pPr>
                        <w:r>
                          <w:rPr>
                            <w:noProof/>
                          </w:rPr>
                          <w:t>Verzoek gehele of gedeeltelijke vrijgave van een woonreservegebied (art. 5.6.12. VCRO)</w:t>
                        </w:r>
                      </w:p>
                    </w:tc>
                    <w:tc>
                      <w:tcPr>
                        <w:tcW w:w="3585" w:type="dxa"/>
                        <w:tcBorders>
                          <w:top w:val="inset" w:sz="6" w:space="0" w:color="808080"/>
                          <w:left w:val="inset" w:sz="6" w:space="0" w:color="808080"/>
                        </w:tcBorders>
                        <w:tcMar>
                          <w:top w:w="0" w:type="dxa"/>
                          <w:left w:w="0" w:type="dxa"/>
                          <w:bottom w:w="0" w:type="dxa"/>
                          <w:right w:w="0" w:type="dxa"/>
                        </w:tcMar>
                        <w:hideMark/>
                      </w:tcPr>
                      <w:p w14:paraId="2C48152B" w14:textId="77777777" w:rsidR="00336403" w:rsidRDefault="00F31A53" w:rsidP="0010034E">
                        <w:pPr>
                          <w:rPr>
                            <w:noProof/>
                          </w:rPr>
                        </w:pPr>
                        <w:r>
                          <w:rPr>
                            <w:noProof/>
                          </w:rPr>
                          <w:t> €  10.000</w:t>
                        </w:r>
                      </w:p>
                    </w:tc>
                  </w:tr>
                </w:tbl>
                <w:p w14:paraId="75847ABA" w14:textId="77777777" w:rsidR="00336403" w:rsidRDefault="00336403">
                  <w:pPr>
                    <w:rPr>
                      <w:noProof/>
                    </w:rPr>
                  </w:pPr>
                </w:p>
              </w:tc>
            </w:tr>
          </w:tbl>
          <w:p w14:paraId="5208F020" w14:textId="77777777" w:rsidR="005713E3" w:rsidRDefault="005713E3" w:rsidP="0010034E">
            <w:pPr>
              <w:rPr>
                <w:noProof/>
              </w:rPr>
            </w:pPr>
          </w:p>
          <w:p w14:paraId="203C6CD2" w14:textId="40608632" w:rsidR="00336403" w:rsidRDefault="00F31A53" w:rsidP="0010034E">
            <w:pPr>
              <w:rPr>
                <w:noProof/>
              </w:rPr>
            </w:pPr>
            <w:r>
              <w:rPr>
                <w:noProof/>
              </w:rPr>
              <w:t>2. De belasting wordt, vanaf het aanslagjaar 2027, jaarlijks op 1 januari automatisch herzien op basis van de schommelingen van de gezondheidsindex, volgens volgende formule:</w:t>
            </w:r>
          </w:p>
          <w:p w14:paraId="49277C25" w14:textId="77777777" w:rsidR="00336403" w:rsidRDefault="00F31A53" w:rsidP="0010034E">
            <w:pPr>
              <w:rPr>
                <w:noProof/>
              </w:rPr>
            </w:pPr>
            <w:r>
              <w:rPr>
                <w:noProof/>
              </w:rPr>
              <w:t xml:space="preserve">Nieuw tarief =  </w:t>
            </w:r>
            <w:r>
              <w:rPr>
                <w:noProof/>
                <w:u w:val="single"/>
              </w:rPr>
              <w:t>oud tarief x nieuwe index</w:t>
            </w:r>
          </w:p>
          <w:p w14:paraId="0AD278B4" w14:textId="217CE1D8" w:rsidR="00336403" w:rsidRDefault="00F31A53" w:rsidP="0010034E">
            <w:pPr>
              <w:rPr>
                <w:noProof/>
              </w:rPr>
            </w:pPr>
            <w:r>
              <w:rPr>
                <w:noProof/>
              </w:rPr>
              <w:t>                  </w:t>
            </w:r>
            <w:r w:rsidR="005713E3">
              <w:rPr>
                <w:noProof/>
              </w:rPr>
              <w:t xml:space="preserve">               </w:t>
            </w:r>
            <w:r>
              <w:rPr>
                <w:noProof/>
              </w:rPr>
              <w:t xml:space="preserve"> Basisindex</w:t>
            </w:r>
          </w:p>
          <w:p w14:paraId="476D3C06" w14:textId="77777777" w:rsidR="00336403" w:rsidRDefault="00F31A53"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belasting. Na indexering wordt het nieuwe tarief van de belasting afgerond naar de hogere euro.</w:t>
            </w:r>
          </w:p>
          <w:p w14:paraId="44A49995" w14:textId="77777777" w:rsidR="00336403" w:rsidRDefault="00F31A53" w:rsidP="0010034E">
            <w:pPr>
              <w:rPr>
                <w:noProof/>
              </w:rPr>
            </w:pPr>
            <w:r>
              <w:rPr>
                <w:b/>
                <w:bCs/>
                <w:noProof/>
              </w:rPr>
              <w:t>Afwijking en vrijstelling</w:t>
            </w:r>
          </w:p>
          <w:p w14:paraId="79A4B614" w14:textId="77777777" w:rsidR="00336403" w:rsidRDefault="00F31A53" w:rsidP="0010034E">
            <w:pPr>
              <w:rPr>
                <w:noProof/>
              </w:rPr>
            </w:pPr>
            <w:r>
              <w:rPr>
                <w:noProof/>
                <w:u w:val="single"/>
              </w:rPr>
              <w:t>Artikel 4.</w:t>
            </w:r>
            <w:r>
              <w:rPr>
                <w:noProof/>
              </w:rPr>
              <w:t xml:space="preserve"> Vrijstellingen worden gerechtvaardigd om maatschappelijke en sociale redenen. Het belasten van aanvragen die kaderen binnen een publieke of sociale opdracht zou neerkomen op een interne doorrekening van publieke middelen en kan de verwezenlijking van het algemeen belang belemmeren. Door vrijstellingen te voorzien wordt sociale rechtvaardigheid gewaarborgd, blijft het reglement doelmatig en wordt de maatschappelijke meerwaarde van bepaalde vergunningen erkend.</w:t>
            </w:r>
          </w:p>
          <w:p w14:paraId="3EEA0C03" w14:textId="77777777" w:rsidR="00336403" w:rsidRDefault="00F31A53" w:rsidP="0010034E">
            <w:pPr>
              <w:rPr>
                <w:noProof/>
              </w:rPr>
            </w:pPr>
            <w:r>
              <w:rPr>
                <w:noProof/>
              </w:rPr>
              <w:t>Aldus zijn dossiers ingediend door of in naam van volgende entiteiten vrijgesteld van de belasting:</w:t>
            </w:r>
          </w:p>
          <w:p w14:paraId="33DB948D" w14:textId="77777777" w:rsidR="00336403" w:rsidRDefault="00F31A53" w:rsidP="0010034E">
            <w:pPr>
              <w:numPr>
                <w:ilvl w:val="0"/>
                <w:numId w:val="12"/>
              </w:numPr>
              <w:rPr>
                <w:noProof/>
              </w:rPr>
            </w:pPr>
            <w:r>
              <w:rPr>
                <w:noProof/>
              </w:rPr>
              <w:t>Overheids(instanties)</w:t>
            </w:r>
          </w:p>
          <w:p w14:paraId="09DEA750" w14:textId="77777777" w:rsidR="00336403" w:rsidRDefault="00F31A53" w:rsidP="0010034E">
            <w:pPr>
              <w:numPr>
                <w:ilvl w:val="0"/>
                <w:numId w:val="12"/>
              </w:numPr>
              <w:rPr>
                <w:noProof/>
              </w:rPr>
            </w:pPr>
            <w:r>
              <w:rPr>
                <w:noProof/>
              </w:rPr>
              <w:t>Woonmaatschappijen</w:t>
            </w:r>
          </w:p>
          <w:p w14:paraId="3DC5637B" w14:textId="77777777" w:rsidR="00336403" w:rsidRDefault="00F31A53" w:rsidP="0010034E">
            <w:pPr>
              <w:numPr>
                <w:ilvl w:val="0"/>
                <w:numId w:val="12"/>
              </w:numPr>
              <w:rPr>
                <w:noProof/>
              </w:rPr>
            </w:pPr>
            <w:r>
              <w:rPr>
                <w:noProof/>
              </w:rPr>
              <w:t>Instellingen van openbaar nut</w:t>
            </w:r>
          </w:p>
          <w:p w14:paraId="58864118" w14:textId="77777777" w:rsidR="00336403" w:rsidRDefault="00F31A53" w:rsidP="0010034E">
            <w:pPr>
              <w:numPr>
                <w:ilvl w:val="0"/>
                <w:numId w:val="12"/>
              </w:numPr>
              <w:rPr>
                <w:noProof/>
              </w:rPr>
            </w:pPr>
            <w:r>
              <w:rPr>
                <w:noProof/>
              </w:rPr>
              <w:t>Intergemeentelijke samenwerkingsverbanden overeenkomstig het decreet lokaal bestuur</w:t>
            </w:r>
          </w:p>
          <w:p w14:paraId="317C26A3" w14:textId="77777777" w:rsidR="00336403" w:rsidRDefault="00F31A53" w:rsidP="0010034E">
            <w:pPr>
              <w:rPr>
                <w:noProof/>
              </w:rPr>
            </w:pPr>
            <w:r>
              <w:rPr>
                <w:noProof/>
              </w:rPr>
              <w:t>De belasting is niet verschuldigd wanneer de melding (art. 106 e.v. DOV) wordt ingetrokken alvorens er een beslissing over wordt genomen (aktename of weigering aktename).</w:t>
            </w:r>
          </w:p>
          <w:p w14:paraId="02E30ACB" w14:textId="77777777" w:rsidR="00336403" w:rsidRDefault="00F31A53" w:rsidP="0010034E">
            <w:pPr>
              <w:rPr>
                <w:noProof/>
              </w:rPr>
            </w:pPr>
            <w:r>
              <w:rPr>
                <w:noProof/>
              </w:rPr>
              <w:t>De belasting is niet verschuldigd wanneer de aanvraag tot omgevingsvergunning onvolledig en/of onontvankelijk wordt verklaard of wanneer de aanvraag wordt ingetrokken alvorens deze volledig of onvolledig en/of onontvankelijk wordt verklaard.</w:t>
            </w:r>
          </w:p>
          <w:p w14:paraId="5B21BD79" w14:textId="77777777" w:rsidR="00336403" w:rsidRDefault="00F31A53" w:rsidP="0010034E">
            <w:pPr>
              <w:rPr>
                <w:noProof/>
              </w:rPr>
            </w:pPr>
            <w:r>
              <w:rPr>
                <w:b/>
                <w:bCs/>
                <w:noProof/>
              </w:rPr>
              <w:t>Wijze van inning</w:t>
            </w:r>
          </w:p>
          <w:p w14:paraId="386EBFD9" w14:textId="77777777" w:rsidR="00336403" w:rsidRDefault="00F31A53" w:rsidP="0010034E">
            <w:pPr>
              <w:rPr>
                <w:noProof/>
              </w:rPr>
            </w:pPr>
            <w:r>
              <w:rPr>
                <w:noProof/>
                <w:u w:val="single"/>
              </w:rPr>
              <w:t>Artikel 5.</w:t>
            </w:r>
            <w:r>
              <w:rPr>
                <w:noProof/>
              </w:rPr>
              <w:t xml:space="preserve"> De belasting wordt contant ingevorderd, via overschrijving op rekening van het gemeentebestuur. Bij gebreke van betaling wordt de belasting ingekohierd, conform het gemeentelijk retributiereglement betreffende de vaststelling van de invorderingskosten voor fiscale en niet-fiscale ontvangsten.</w:t>
            </w:r>
          </w:p>
          <w:p w14:paraId="0BC2C01A" w14:textId="77777777" w:rsidR="00336403" w:rsidRDefault="00F31A53" w:rsidP="0010034E">
            <w:pPr>
              <w:rPr>
                <w:noProof/>
              </w:rPr>
            </w:pPr>
            <w:r>
              <w:rPr>
                <w:b/>
                <w:bCs/>
                <w:noProof/>
              </w:rPr>
              <w:t>Bezwaarprocedure</w:t>
            </w:r>
          </w:p>
          <w:p w14:paraId="495057DF" w14:textId="77777777" w:rsidR="00336403" w:rsidRDefault="00F31A53" w:rsidP="0010034E">
            <w:pPr>
              <w:rPr>
                <w:noProof/>
              </w:rPr>
            </w:pPr>
            <w:r>
              <w:rPr>
                <w:noProof/>
                <w:u w:val="single"/>
              </w:rPr>
              <w:t>Artikel 6.</w:t>
            </w:r>
            <w:r>
              <w:rPr>
                <w:noProof/>
              </w:rPr>
              <w:t xml:space="preserve"> De belastingschuldige kan bezwaar indienen tegen deze belasting bij het college van burgemeester en schepenen. Het bezwaar moet schriftelijk, gemotiveerd en ondertekend worden ingediend. De indiening moet, op straffe van verval, gebeuren binnen een termijn van drie maanden te rekenen vanaf de derde werkdag volgend op de datum van </w:t>
            </w:r>
            <w:r>
              <w:rPr>
                <w:noProof/>
              </w:rPr>
              <w:lastRenderedPageBreak/>
              <w:t>verzending van het aanslagbiljet of vanaf de kennisgeving van de aanslag of vanaf de datum van de contante inning.</w:t>
            </w:r>
          </w:p>
          <w:p w14:paraId="2A47E938" w14:textId="77777777" w:rsidR="00336403" w:rsidRDefault="00F31A53" w:rsidP="0010034E">
            <w:pPr>
              <w:rPr>
                <w:noProof/>
              </w:rPr>
            </w:pPr>
            <w:r>
              <w:rPr>
                <w:noProof/>
              </w:rPr>
              <w:t>Van het bezwaarschrift wordt een ontvangstbewijs afgegeven, binnen de vijftien dagen na de indiening ervan.</w:t>
            </w:r>
          </w:p>
          <w:p w14:paraId="23CACFB4" w14:textId="77777777" w:rsidR="00336403" w:rsidRDefault="00F31A53" w:rsidP="0010034E">
            <w:pPr>
              <w:rPr>
                <w:noProof/>
              </w:rPr>
            </w:pPr>
            <w:r>
              <w:rPr>
                <w:b/>
                <w:bCs/>
                <w:noProof/>
              </w:rPr>
              <w:t>Algemene bepalingen</w:t>
            </w:r>
          </w:p>
          <w:p w14:paraId="368EF55F" w14:textId="77777777" w:rsidR="00336403" w:rsidRDefault="00F31A53" w:rsidP="0010034E">
            <w:pPr>
              <w:rPr>
                <w:noProof/>
              </w:rPr>
            </w:pPr>
            <w:r>
              <w:rPr>
                <w:noProof/>
                <w:u w:val="single"/>
              </w:rPr>
              <w:t>Artikel 7.</w:t>
            </w:r>
            <w:r>
              <w:rPr>
                <w:noProof/>
              </w:rPr>
              <w:t xml:space="preserve"> De vestiging, de invordering en de geschillenprocedure gebeuren volgens de bepalingen van het decreet van 30 mei 2008 (en latere wijzigingen) betreffende de vestiging, de invordering en de geschillenprocedure van de provincie- en gemeentebelastingen.</w:t>
            </w:r>
          </w:p>
          <w:p w14:paraId="25681435" w14:textId="77777777" w:rsidR="00336403" w:rsidRDefault="00F31A53" w:rsidP="0010034E">
            <w:pPr>
              <w:rPr>
                <w:noProof/>
              </w:rPr>
            </w:pPr>
            <w:r>
              <w:rPr>
                <w:b/>
                <w:bCs/>
                <w:noProof/>
              </w:rPr>
              <w:t>Bestuurlijk toezicht</w:t>
            </w:r>
          </w:p>
          <w:p w14:paraId="24DBEECD" w14:textId="77777777" w:rsidR="00336403" w:rsidRDefault="00F31A53" w:rsidP="0010034E">
            <w:pPr>
              <w:rPr>
                <w:noProof/>
              </w:rPr>
            </w:pPr>
            <w:r>
              <w:rPr>
                <w:noProof/>
                <w:u w:val="single"/>
              </w:rPr>
              <w:t>Artikel 8.</w:t>
            </w:r>
            <w:r>
              <w:rPr>
                <w:noProof/>
              </w:rPr>
              <w:t xml:space="preserve"> Deze verordening wordt aan de toezichthoudende overheid toegezonden.</w:t>
            </w:r>
          </w:p>
          <w:p w14:paraId="2464F522" w14:textId="77777777" w:rsidR="00336403" w:rsidRDefault="00F31A53" w:rsidP="0010034E">
            <w:pPr>
              <w:rPr>
                <w:noProof/>
              </w:rPr>
            </w:pPr>
            <w:r>
              <w:rPr>
                <w:b/>
                <w:bCs/>
                <w:noProof/>
              </w:rPr>
              <w:t>Bekendmaking en inwerkingtreding</w:t>
            </w:r>
          </w:p>
          <w:p w14:paraId="501CD7D7" w14:textId="77777777" w:rsidR="00336403" w:rsidRDefault="00F31A53" w:rsidP="0010034E">
            <w:pPr>
              <w:rPr>
                <w:noProof/>
              </w:rPr>
            </w:pPr>
            <w:r>
              <w:rPr>
                <w:noProof/>
                <w:u w:val="single"/>
              </w:rPr>
              <w:t>Artikel 9.</w:t>
            </w:r>
            <w:r>
              <w:rPr>
                <w:noProof/>
              </w:rPr>
              <w:t xml:space="preserve"> Onderhavig belastingreglement treedt in werking op 1 januari 2026 voor alle aanvragen die vanaf die datum worden ingediend. Aanvragen die voor 1 januari 2026 zijn ingediend, maar nog niet zijn behandeld, vallen onder het vorige belastingreglement, goedgekeurd op 30 mei 2024 door de gemeenteraad.</w:t>
            </w:r>
          </w:p>
          <w:p w14:paraId="7D913FAC" w14:textId="77777777" w:rsidR="00336403" w:rsidRDefault="00F31A53" w:rsidP="0010034E">
            <w:pPr>
              <w:rPr>
                <w:noProof/>
              </w:rPr>
            </w:pPr>
            <w:r>
              <w:rPr>
                <w:noProof/>
              </w:rPr>
              <w:t>De bekendmaking alsook de inwerkingtreding van deze verordening gebeurt respectievelijk en overeenkomstig artikels 285 tot en met 288 van het decreet lokaal bestuur.</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F31A53"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336403" w14:paraId="2D24D06C" w14:textId="77777777" w:rsidTr="00020EEF">
        <w:trPr>
          <w:trHeight w:val="603"/>
        </w:trPr>
        <w:tc>
          <w:tcPr>
            <w:tcW w:w="4253" w:type="dxa"/>
          </w:tcPr>
          <w:p w14:paraId="2D24D067" w14:textId="4966EDC8" w:rsidR="006801DE" w:rsidRPr="004B451F" w:rsidRDefault="00F31A53" w:rsidP="00BA2B2C">
            <w:pPr>
              <w:ind w:right="379"/>
            </w:pPr>
            <w:r>
              <w:rPr>
                <w:noProof/>
              </w:rPr>
              <w:t>algemeen directeur</w:t>
            </w:r>
            <w:r w:rsidRPr="004B451F">
              <w:t>,</w:t>
            </w:r>
          </w:p>
          <w:p w14:paraId="2D24D069" w14:textId="0E7ACB88" w:rsidR="006801DE" w:rsidRPr="002E08DB" w:rsidRDefault="00F31A53" w:rsidP="00DD0895">
            <w:r>
              <w:t xml:space="preserve">(get.) </w:t>
            </w:r>
            <w:r>
              <w:rPr>
                <w:noProof/>
              </w:rPr>
              <w:t>Sieglinde De Mulder</w:t>
            </w:r>
          </w:p>
        </w:tc>
        <w:tc>
          <w:tcPr>
            <w:tcW w:w="5211" w:type="dxa"/>
          </w:tcPr>
          <w:p w14:paraId="2D24D06A" w14:textId="1FB48EF6" w:rsidR="006801DE" w:rsidRPr="00166C98" w:rsidRDefault="00F31A53"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F31A53"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F31A53" w:rsidP="0096666E">
      <w:pPr>
        <w:jc w:val="center"/>
        <w:rPr>
          <w:color w:val="000000"/>
          <w:szCs w:val="22"/>
        </w:rPr>
      </w:pPr>
      <w:r>
        <w:rPr>
          <w:color w:val="000000"/>
          <w:szCs w:val="22"/>
        </w:rPr>
        <w:t>V</w:t>
      </w:r>
      <w:r w:rsidRPr="00871CA3">
        <w:rPr>
          <w:color w:val="000000"/>
          <w:szCs w:val="22"/>
        </w:rPr>
        <w:t>oor eensluidend afschrift,</w:t>
      </w:r>
    </w:p>
    <w:p w14:paraId="2D24D06F" w14:textId="335ABAE6" w:rsidR="0096666E" w:rsidRDefault="00F31A53"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5713E3">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336403" w14:paraId="75ADA6AF" w14:textId="77777777" w:rsidTr="00712D1A">
        <w:trPr>
          <w:trHeight w:val="1449"/>
        </w:trPr>
        <w:tc>
          <w:tcPr>
            <w:tcW w:w="3794" w:type="dxa"/>
          </w:tcPr>
          <w:p w14:paraId="5ED8FF65" w14:textId="77777777" w:rsidR="006D7941" w:rsidRDefault="00F31A53"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F31A53"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F31A53" w:rsidP="00712D1A">
            <w:pPr>
              <w:jc w:val="center"/>
              <w:rPr>
                <w:rFonts w:eastAsia="Calibri"/>
              </w:rPr>
            </w:pPr>
            <w:r w:rsidRPr="005B3F4B">
              <w:rPr>
                <w:rFonts w:eastAsia="Calibri"/>
                <w:noProof/>
              </w:rPr>
              <w:drawing>
                <wp:inline distT="0" distB="0" distL="0" distR="0" wp14:anchorId="1639C367" wp14:editId="410A0D73">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F31A53"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F31A53"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5EC7" w14:textId="77777777" w:rsidR="00F31A53" w:rsidRDefault="00F31A53">
      <w:pPr>
        <w:spacing w:after="0"/>
      </w:pPr>
      <w:r>
        <w:separator/>
      </w:r>
    </w:p>
  </w:endnote>
  <w:endnote w:type="continuationSeparator" w:id="0">
    <w:p w14:paraId="631325BE" w14:textId="77777777" w:rsidR="00F31A53" w:rsidRDefault="00F31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72480"/>
      <w:docPartObj>
        <w:docPartGallery w:val="Page Numbers (Bottom of Page)"/>
        <w:docPartUnique/>
      </w:docPartObj>
    </w:sdtPr>
    <w:sdtContent>
      <w:p w14:paraId="248496FC" w14:textId="00880C25" w:rsidR="005713E3" w:rsidRDefault="005713E3">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F31A53">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EE19" w14:textId="77777777" w:rsidR="00F31A53" w:rsidRDefault="00F31A53">
      <w:pPr>
        <w:spacing w:after="0"/>
      </w:pPr>
      <w:r>
        <w:separator/>
      </w:r>
    </w:p>
  </w:footnote>
  <w:footnote w:type="continuationSeparator" w:id="0">
    <w:p w14:paraId="74003194" w14:textId="77777777" w:rsidR="00F31A53" w:rsidRDefault="00F31A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F31A53" w:rsidP="003F2F4E">
    <w:pPr>
      <w:pStyle w:val="Koptekst"/>
      <w:jc w:val="right"/>
    </w:pPr>
    <w:r>
      <w:rPr>
        <w:noProof/>
        <w:lang w:eastAsia="nl-BE"/>
      </w:rPr>
      <w:drawing>
        <wp:anchor distT="0" distB="0" distL="114300" distR="114300" simplePos="0" relativeHeight="251658240" behindDoc="0" locked="0" layoutInCell="1" allowOverlap="1" wp14:anchorId="39B2D61C" wp14:editId="1CCCC824">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Arrondissement Halle-Vilvoorde</w:t>
    </w:r>
  </w:p>
  <w:p w14:paraId="2D24D085" w14:textId="77777777" w:rsidR="003B16BD" w:rsidRDefault="00F31A53" w:rsidP="003F2F4E">
    <w:pPr>
      <w:pStyle w:val="Koptekst"/>
      <w:jc w:val="right"/>
    </w:pPr>
    <w:r>
      <w:t>Provincie Vlaams-Brabant</w:t>
    </w:r>
  </w:p>
  <w:p w14:paraId="2D24D086" w14:textId="77777777" w:rsidR="003B16BD" w:rsidRDefault="00F31A53"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F31A53" w:rsidP="00D7313B">
    <w:pPr>
      <w:pStyle w:val="Koptekst"/>
    </w:pPr>
    <w:r>
      <w:rPr>
        <w:noProof/>
        <w:lang w:eastAsia="nl-BE"/>
      </w:rPr>
      <w:drawing>
        <wp:anchor distT="0" distB="0" distL="114300" distR="114300" simplePos="0" relativeHeight="251659264" behindDoc="0" locked="0" layoutInCell="1" allowOverlap="1" wp14:anchorId="7726C9FE" wp14:editId="262008F7">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F31A53" w:rsidP="003B16BD">
    <w:pPr>
      <w:pStyle w:val="Koptekst"/>
      <w:jc w:val="right"/>
    </w:pPr>
    <w:r>
      <w:t>Provincie Vlaams-Brabant</w:t>
    </w:r>
  </w:p>
  <w:p w14:paraId="2D24D08D" w14:textId="77777777" w:rsidR="00D7313B" w:rsidRDefault="00F31A53"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9280C746">
      <w:start w:val="1"/>
      <w:numFmt w:val="decimal"/>
      <w:lvlText w:val="%1."/>
      <w:lvlJc w:val="left"/>
      <w:pPr>
        <w:ind w:left="720" w:hanging="360"/>
      </w:pPr>
    </w:lvl>
    <w:lvl w:ilvl="1" w:tplc="6C16FF68" w:tentative="1">
      <w:start w:val="1"/>
      <w:numFmt w:val="lowerLetter"/>
      <w:lvlText w:val="%2."/>
      <w:lvlJc w:val="left"/>
      <w:pPr>
        <w:ind w:left="1440" w:hanging="360"/>
      </w:pPr>
    </w:lvl>
    <w:lvl w:ilvl="2" w:tplc="FF947CC6" w:tentative="1">
      <w:start w:val="1"/>
      <w:numFmt w:val="lowerRoman"/>
      <w:lvlText w:val="%3."/>
      <w:lvlJc w:val="right"/>
      <w:pPr>
        <w:ind w:left="2160" w:hanging="180"/>
      </w:pPr>
    </w:lvl>
    <w:lvl w:ilvl="3" w:tplc="3522A5E0" w:tentative="1">
      <w:start w:val="1"/>
      <w:numFmt w:val="decimal"/>
      <w:lvlText w:val="%4."/>
      <w:lvlJc w:val="left"/>
      <w:pPr>
        <w:ind w:left="2880" w:hanging="360"/>
      </w:pPr>
    </w:lvl>
    <w:lvl w:ilvl="4" w:tplc="1E202886" w:tentative="1">
      <w:start w:val="1"/>
      <w:numFmt w:val="lowerLetter"/>
      <w:lvlText w:val="%5."/>
      <w:lvlJc w:val="left"/>
      <w:pPr>
        <w:ind w:left="3600" w:hanging="360"/>
      </w:pPr>
    </w:lvl>
    <w:lvl w:ilvl="5" w:tplc="F79CB1FC" w:tentative="1">
      <w:start w:val="1"/>
      <w:numFmt w:val="lowerRoman"/>
      <w:lvlText w:val="%6."/>
      <w:lvlJc w:val="right"/>
      <w:pPr>
        <w:ind w:left="4320" w:hanging="180"/>
      </w:pPr>
    </w:lvl>
    <w:lvl w:ilvl="6" w:tplc="9B8A68A8" w:tentative="1">
      <w:start w:val="1"/>
      <w:numFmt w:val="decimal"/>
      <w:lvlText w:val="%7."/>
      <w:lvlJc w:val="left"/>
      <w:pPr>
        <w:ind w:left="5040" w:hanging="360"/>
      </w:pPr>
    </w:lvl>
    <w:lvl w:ilvl="7" w:tplc="8AB6FCB4" w:tentative="1">
      <w:start w:val="1"/>
      <w:numFmt w:val="lowerLetter"/>
      <w:lvlText w:val="%8."/>
      <w:lvlJc w:val="left"/>
      <w:pPr>
        <w:ind w:left="5760" w:hanging="360"/>
      </w:pPr>
    </w:lvl>
    <w:lvl w:ilvl="8" w:tplc="4E103EE2"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463831AA">
      <w:start w:val="1"/>
      <w:numFmt w:val="bullet"/>
      <w:lvlText w:val=""/>
      <w:lvlJc w:val="left"/>
      <w:pPr>
        <w:ind w:left="720" w:hanging="360"/>
      </w:pPr>
      <w:rPr>
        <w:rFonts w:ascii="Symbol" w:hAnsi="Symbol" w:hint="default"/>
      </w:rPr>
    </w:lvl>
    <w:lvl w:ilvl="1" w:tplc="8C3E8FAC">
      <w:start w:val="1"/>
      <w:numFmt w:val="bullet"/>
      <w:lvlText w:val="o"/>
      <w:lvlJc w:val="left"/>
      <w:pPr>
        <w:ind w:left="1440" w:hanging="360"/>
      </w:pPr>
      <w:rPr>
        <w:rFonts w:ascii="Courier New" w:hAnsi="Courier New" w:cs="Courier New" w:hint="default"/>
      </w:rPr>
    </w:lvl>
    <w:lvl w:ilvl="2" w:tplc="5782A25E" w:tentative="1">
      <w:start w:val="1"/>
      <w:numFmt w:val="bullet"/>
      <w:lvlText w:val=""/>
      <w:lvlJc w:val="left"/>
      <w:pPr>
        <w:ind w:left="2160" w:hanging="360"/>
      </w:pPr>
      <w:rPr>
        <w:rFonts w:ascii="Wingdings" w:hAnsi="Wingdings" w:hint="default"/>
      </w:rPr>
    </w:lvl>
    <w:lvl w:ilvl="3" w:tplc="A1F6C5AA" w:tentative="1">
      <w:start w:val="1"/>
      <w:numFmt w:val="bullet"/>
      <w:lvlText w:val=""/>
      <w:lvlJc w:val="left"/>
      <w:pPr>
        <w:ind w:left="2880" w:hanging="360"/>
      </w:pPr>
      <w:rPr>
        <w:rFonts w:ascii="Symbol" w:hAnsi="Symbol" w:hint="default"/>
      </w:rPr>
    </w:lvl>
    <w:lvl w:ilvl="4" w:tplc="997CC52E" w:tentative="1">
      <w:start w:val="1"/>
      <w:numFmt w:val="bullet"/>
      <w:lvlText w:val="o"/>
      <w:lvlJc w:val="left"/>
      <w:pPr>
        <w:ind w:left="3600" w:hanging="360"/>
      </w:pPr>
      <w:rPr>
        <w:rFonts w:ascii="Courier New" w:hAnsi="Courier New" w:cs="Courier New" w:hint="default"/>
      </w:rPr>
    </w:lvl>
    <w:lvl w:ilvl="5" w:tplc="0D90B0DC" w:tentative="1">
      <w:start w:val="1"/>
      <w:numFmt w:val="bullet"/>
      <w:lvlText w:val=""/>
      <w:lvlJc w:val="left"/>
      <w:pPr>
        <w:ind w:left="4320" w:hanging="360"/>
      </w:pPr>
      <w:rPr>
        <w:rFonts w:ascii="Wingdings" w:hAnsi="Wingdings" w:hint="default"/>
      </w:rPr>
    </w:lvl>
    <w:lvl w:ilvl="6" w:tplc="82AEBB9A" w:tentative="1">
      <w:start w:val="1"/>
      <w:numFmt w:val="bullet"/>
      <w:lvlText w:val=""/>
      <w:lvlJc w:val="left"/>
      <w:pPr>
        <w:ind w:left="5040" w:hanging="360"/>
      </w:pPr>
      <w:rPr>
        <w:rFonts w:ascii="Symbol" w:hAnsi="Symbol" w:hint="default"/>
      </w:rPr>
    </w:lvl>
    <w:lvl w:ilvl="7" w:tplc="726C0ADC" w:tentative="1">
      <w:start w:val="1"/>
      <w:numFmt w:val="bullet"/>
      <w:lvlText w:val="o"/>
      <w:lvlJc w:val="left"/>
      <w:pPr>
        <w:ind w:left="5760" w:hanging="360"/>
      </w:pPr>
      <w:rPr>
        <w:rFonts w:ascii="Courier New" w:hAnsi="Courier New" w:cs="Courier New" w:hint="default"/>
      </w:rPr>
    </w:lvl>
    <w:lvl w:ilvl="8" w:tplc="F1B67C08"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10C6C39E">
      <w:start w:val="1"/>
      <w:numFmt w:val="decimal"/>
      <w:lvlText w:val="%1."/>
      <w:lvlJc w:val="left"/>
      <w:pPr>
        <w:ind w:left="720" w:hanging="360"/>
      </w:pPr>
    </w:lvl>
    <w:lvl w:ilvl="1" w:tplc="F6524B56" w:tentative="1">
      <w:start w:val="1"/>
      <w:numFmt w:val="lowerLetter"/>
      <w:lvlText w:val="%2."/>
      <w:lvlJc w:val="left"/>
      <w:pPr>
        <w:ind w:left="1440" w:hanging="360"/>
      </w:pPr>
    </w:lvl>
    <w:lvl w:ilvl="2" w:tplc="8E666604" w:tentative="1">
      <w:start w:val="1"/>
      <w:numFmt w:val="lowerRoman"/>
      <w:lvlText w:val="%3."/>
      <w:lvlJc w:val="right"/>
      <w:pPr>
        <w:ind w:left="2160" w:hanging="180"/>
      </w:pPr>
    </w:lvl>
    <w:lvl w:ilvl="3" w:tplc="0E10B934" w:tentative="1">
      <w:start w:val="1"/>
      <w:numFmt w:val="decimal"/>
      <w:lvlText w:val="%4."/>
      <w:lvlJc w:val="left"/>
      <w:pPr>
        <w:ind w:left="2880" w:hanging="360"/>
      </w:pPr>
    </w:lvl>
    <w:lvl w:ilvl="4" w:tplc="A8985658" w:tentative="1">
      <w:start w:val="1"/>
      <w:numFmt w:val="lowerLetter"/>
      <w:lvlText w:val="%5."/>
      <w:lvlJc w:val="left"/>
      <w:pPr>
        <w:ind w:left="3600" w:hanging="360"/>
      </w:pPr>
    </w:lvl>
    <w:lvl w:ilvl="5" w:tplc="D71266D6" w:tentative="1">
      <w:start w:val="1"/>
      <w:numFmt w:val="lowerRoman"/>
      <w:lvlText w:val="%6."/>
      <w:lvlJc w:val="right"/>
      <w:pPr>
        <w:ind w:left="4320" w:hanging="180"/>
      </w:pPr>
    </w:lvl>
    <w:lvl w:ilvl="6" w:tplc="BC2C77EE" w:tentative="1">
      <w:start w:val="1"/>
      <w:numFmt w:val="decimal"/>
      <w:lvlText w:val="%7."/>
      <w:lvlJc w:val="left"/>
      <w:pPr>
        <w:ind w:left="5040" w:hanging="360"/>
      </w:pPr>
    </w:lvl>
    <w:lvl w:ilvl="7" w:tplc="881E7476" w:tentative="1">
      <w:start w:val="1"/>
      <w:numFmt w:val="lowerLetter"/>
      <w:lvlText w:val="%8."/>
      <w:lvlJc w:val="left"/>
      <w:pPr>
        <w:ind w:left="5760" w:hanging="360"/>
      </w:pPr>
    </w:lvl>
    <w:lvl w:ilvl="8" w:tplc="3DF06BAA"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3424D836">
      <w:start w:val="1"/>
      <w:numFmt w:val="decimal"/>
      <w:lvlText w:val="%1."/>
      <w:lvlJc w:val="left"/>
      <w:pPr>
        <w:ind w:left="360" w:hanging="360"/>
      </w:pPr>
      <w:rPr>
        <w:rFonts w:hint="default"/>
      </w:rPr>
    </w:lvl>
    <w:lvl w:ilvl="1" w:tplc="3062AD98" w:tentative="1">
      <w:start w:val="1"/>
      <w:numFmt w:val="lowerLetter"/>
      <w:lvlText w:val="%2."/>
      <w:lvlJc w:val="left"/>
      <w:pPr>
        <w:ind w:left="1080" w:hanging="360"/>
      </w:pPr>
    </w:lvl>
    <w:lvl w:ilvl="2" w:tplc="2C644006" w:tentative="1">
      <w:start w:val="1"/>
      <w:numFmt w:val="lowerRoman"/>
      <w:lvlText w:val="%3."/>
      <w:lvlJc w:val="right"/>
      <w:pPr>
        <w:ind w:left="1800" w:hanging="180"/>
      </w:pPr>
    </w:lvl>
    <w:lvl w:ilvl="3" w:tplc="86981C0E" w:tentative="1">
      <w:start w:val="1"/>
      <w:numFmt w:val="decimal"/>
      <w:lvlText w:val="%4."/>
      <w:lvlJc w:val="left"/>
      <w:pPr>
        <w:ind w:left="2520" w:hanging="360"/>
      </w:pPr>
    </w:lvl>
    <w:lvl w:ilvl="4" w:tplc="9E908CD2" w:tentative="1">
      <w:start w:val="1"/>
      <w:numFmt w:val="lowerLetter"/>
      <w:lvlText w:val="%5."/>
      <w:lvlJc w:val="left"/>
      <w:pPr>
        <w:ind w:left="3240" w:hanging="360"/>
      </w:pPr>
    </w:lvl>
    <w:lvl w:ilvl="5" w:tplc="F2205B78" w:tentative="1">
      <w:start w:val="1"/>
      <w:numFmt w:val="lowerRoman"/>
      <w:lvlText w:val="%6."/>
      <w:lvlJc w:val="right"/>
      <w:pPr>
        <w:ind w:left="3960" w:hanging="180"/>
      </w:pPr>
    </w:lvl>
    <w:lvl w:ilvl="6" w:tplc="9D646AC0" w:tentative="1">
      <w:start w:val="1"/>
      <w:numFmt w:val="decimal"/>
      <w:lvlText w:val="%7."/>
      <w:lvlJc w:val="left"/>
      <w:pPr>
        <w:ind w:left="4680" w:hanging="360"/>
      </w:pPr>
    </w:lvl>
    <w:lvl w:ilvl="7" w:tplc="D34CB0DE" w:tentative="1">
      <w:start w:val="1"/>
      <w:numFmt w:val="lowerLetter"/>
      <w:lvlText w:val="%8."/>
      <w:lvlJc w:val="left"/>
      <w:pPr>
        <w:ind w:left="5400" w:hanging="360"/>
      </w:pPr>
    </w:lvl>
    <w:lvl w:ilvl="8" w:tplc="C15C74CC"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56CC2074">
      <w:start w:val="1"/>
      <w:numFmt w:val="bullet"/>
      <w:lvlText w:val=""/>
      <w:lvlJc w:val="left"/>
      <w:pPr>
        <w:ind w:left="720" w:hanging="360"/>
      </w:pPr>
      <w:rPr>
        <w:rFonts w:ascii="Symbol" w:hAnsi="Symbol"/>
      </w:rPr>
    </w:lvl>
    <w:lvl w:ilvl="1" w:tplc="7A3CF024">
      <w:start w:val="1"/>
      <w:numFmt w:val="bullet"/>
      <w:lvlText w:val="o"/>
      <w:lvlJc w:val="left"/>
      <w:pPr>
        <w:tabs>
          <w:tab w:val="num" w:pos="1440"/>
        </w:tabs>
        <w:ind w:left="1440" w:hanging="360"/>
      </w:pPr>
      <w:rPr>
        <w:rFonts w:ascii="Courier New" w:hAnsi="Courier New"/>
      </w:rPr>
    </w:lvl>
    <w:lvl w:ilvl="2" w:tplc="50B2134C">
      <w:start w:val="1"/>
      <w:numFmt w:val="bullet"/>
      <w:lvlText w:val=""/>
      <w:lvlJc w:val="left"/>
      <w:pPr>
        <w:tabs>
          <w:tab w:val="num" w:pos="2160"/>
        </w:tabs>
        <w:ind w:left="2160" w:hanging="360"/>
      </w:pPr>
      <w:rPr>
        <w:rFonts w:ascii="Wingdings" w:hAnsi="Wingdings"/>
      </w:rPr>
    </w:lvl>
    <w:lvl w:ilvl="3" w:tplc="9D32179A">
      <w:start w:val="1"/>
      <w:numFmt w:val="bullet"/>
      <w:lvlText w:val=""/>
      <w:lvlJc w:val="left"/>
      <w:pPr>
        <w:tabs>
          <w:tab w:val="num" w:pos="2880"/>
        </w:tabs>
        <w:ind w:left="2880" w:hanging="360"/>
      </w:pPr>
      <w:rPr>
        <w:rFonts w:ascii="Symbol" w:hAnsi="Symbol"/>
      </w:rPr>
    </w:lvl>
    <w:lvl w:ilvl="4" w:tplc="C99E3D5E">
      <w:start w:val="1"/>
      <w:numFmt w:val="bullet"/>
      <w:lvlText w:val="o"/>
      <w:lvlJc w:val="left"/>
      <w:pPr>
        <w:tabs>
          <w:tab w:val="num" w:pos="3600"/>
        </w:tabs>
        <w:ind w:left="3600" w:hanging="360"/>
      </w:pPr>
      <w:rPr>
        <w:rFonts w:ascii="Courier New" w:hAnsi="Courier New"/>
      </w:rPr>
    </w:lvl>
    <w:lvl w:ilvl="5" w:tplc="BDB684C6">
      <w:start w:val="1"/>
      <w:numFmt w:val="bullet"/>
      <w:lvlText w:val=""/>
      <w:lvlJc w:val="left"/>
      <w:pPr>
        <w:tabs>
          <w:tab w:val="num" w:pos="4320"/>
        </w:tabs>
        <w:ind w:left="4320" w:hanging="360"/>
      </w:pPr>
      <w:rPr>
        <w:rFonts w:ascii="Wingdings" w:hAnsi="Wingdings"/>
      </w:rPr>
    </w:lvl>
    <w:lvl w:ilvl="6" w:tplc="348648BE">
      <w:start w:val="1"/>
      <w:numFmt w:val="bullet"/>
      <w:lvlText w:val=""/>
      <w:lvlJc w:val="left"/>
      <w:pPr>
        <w:tabs>
          <w:tab w:val="num" w:pos="5040"/>
        </w:tabs>
        <w:ind w:left="5040" w:hanging="360"/>
      </w:pPr>
      <w:rPr>
        <w:rFonts w:ascii="Symbol" w:hAnsi="Symbol"/>
      </w:rPr>
    </w:lvl>
    <w:lvl w:ilvl="7" w:tplc="364AFD5C">
      <w:start w:val="1"/>
      <w:numFmt w:val="bullet"/>
      <w:lvlText w:val="o"/>
      <w:lvlJc w:val="left"/>
      <w:pPr>
        <w:tabs>
          <w:tab w:val="num" w:pos="5760"/>
        </w:tabs>
        <w:ind w:left="5760" w:hanging="360"/>
      </w:pPr>
      <w:rPr>
        <w:rFonts w:ascii="Courier New" w:hAnsi="Courier New"/>
      </w:rPr>
    </w:lvl>
    <w:lvl w:ilvl="8" w:tplc="6CE4F0DC">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52C0F7F6">
      <w:start w:val="1"/>
      <w:numFmt w:val="bullet"/>
      <w:lvlText w:val=""/>
      <w:lvlJc w:val="left"/>
      <w:pPr>
        <w:ind w:left="720" w:hanging="360"/>
      </w:pPr>
      <w:rPr>
        <w:rFonts w:ascii="Symbol" w:hAnsi="Symbol"/>
      </w:rPr>
    </w:lvl>
    <w:lvl w:ilvl="1" w:tplc="3912B518">
      <w:start w:val="1"/>
      <w:numFmt w:val="bullet"/>
      <w:lvlText w:val="o"/>
      <w:lvlJc w:val="left"/>
      <w:pPr>
        <w:tabs>
          <w:tab w:val="num" w:pos="1440"/>
        </w:tabs>
        <w:ind w:left="1440" w:hanging="360"/>
      </w:pPr>
      <w:rPr>
        <w:rFonts w:ascii="Courier New" w:hAnsi="Courier New"/>
      </w:rPr>
    </w:lvl>
    <w:lvl w:ilvl="2" w:tplc="0CD2396A">
      <w:start w:val="1"/>
      <w:numFmt w:val="bullet"/>
      <w:lvlText w:val=""/>
      <w:lvlJc w:val="left"/>
      <w:pPr>
        <w:tabs>
          <w:tab w:val="num" w:pos="2160"/>
        </w:tabs>
        <w:ind w:left="2160" w:hanging="360"/>
      </w:pPr>
      <w:rPr>
        <w:rFonts w:ascii="Wingdings" w:hAnsi="Wingdings"/>
      </w:rPr>
    </w:lvl>
    <w:lvl w:ilvl="3" w:tplc="F45854EA">
      <w:start w:val="1"/>
      <w:numFmt w:val="bullet"/>
      <w:lvlText w:val=""/>
      <w:lvlJc w:val="left"/>
      <w:pPr>
        <w:tabs>
          <w:tab w:val="num" w:pos="2880"/>
        </w:tabs>
        <w:ind w:left="2880" w:hanging="360"/>
      </w:pPr>
      <w:rPr>
        <w:rFonts w:ascii="Symbol" w:hAnsi="Symbol"/>
      </w:rPr>
    </w:lvl>
    <w:lvl w:ilvl="4" w:tplc="1D2695EA">
      <w:start w:val="1"/>
      <w:numFmt w:val="bullet"/>
      <w:lvlText w:val="o"/>
      <w:lvlJc w:val="left"/>
      <w:pPr>
        <w:tabs>
          <w:tab w:val="num" w:pos="3600"/>
        </w:tabs>
        <w:ind w:left="3600" w:hanging="360"/>
      </w:pPr>
      <w:rPr>
        <w:rFonts w:ascii="Courier New" w:hAnsi="Courier New"/>
      </w:rPr>
    </w:lvl>
    <w:lvl w:ilvl="5" w:tplc="CFF0B59E">
      <w:start w:val="1"/>
      <w:numFmt w:val="bullet"/>
      <w:lvlText w:val=""/>
      <w:lvlJc w:val="left"/>
      <w:pPr>
        <w:tabs>
          <w:tab w:val="num" w:pos="4320"/>
        </w:tabs>
        <w:ind w:left="4320" w:hanging="360"/>
      </w:pPr>
      <w:rPr>
        <w:rFonts w:ascii="Wingdings" w:hAnsi="Wingdings"/>
      </w:rPr>
    </w:lvl>
    <w:lvl w:ilvl="6" w:tplc="01C097B2">
      <w:start w:val="1"/>
      <w:numFmt w:val="bullet"/>
      <w:lvlText w:val=""/>
      <w:lvlJc w:val="left"/>
      <w:pPr>
        <w:tabs>
          <w:tab w:val="num" w:pos="5040"/>
        </w:tabs>
        <w:ind w:left="5040" w:hanging="360"/>
      </w:pPr>
      <w:rPr>
        <w:rFonts w:ascii="Symbol" w:hAnsi="Symbol"/>
      </w:rPr>
    </w:lvl>
    <w:lvl w:ilvl="7" w:tplc="2E76C4E0">
      <w:start w:val="1"/>
      <w:numFmt w:val="bullet"/>
      <w:lvlText w:val="o"/>
      <w:lvlJc w:val="left"/>
      <w:pPr>
        <w:tabs>
          <w:tab w:val="num" w:pos="5760"/>
        </w:tabs>
        <w:ind w:left="5760" w:hanging="360"/>
      </w:pPr>
      <w:rPr>
        <w:rFonts w:ascii="Courier New" w:hAnsi="Courier New"/>
      </w:rPr>
    </w:lvl>
    <w:lvl w:ilvl="8" w:tplc="8060832C">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11B251F8">
      <w:start w:val="1"/>
      <w:numFmt w:val="bullet"/>
      <w:lvlText w:val=""/>
      <w:lvlJc w:val="left"/>
      <w:pPr>
        <w:ind w:left="720" w:hanging="360"/>
      </w:pPr>
      <w:rPr>
        <w:rFonts w:ascii="Symbol" w:hAnsi="Symbol"/>
      </w:rPr>
    </w:lvl>
    <w:lvl w:ilvl="1" w:tplc="E750665A">
      <w:start w:val="1"/>
      <w:numFmt w:val="bullet"/>
      <w:lvlText w:val="o"/>
      <w:lvlJc w:val="left"/>
      <w:pPr>
        <w:tabs>
          <w:tab w:val="num" w:pos="1440"/>
        </w:tabs>
        <w:ind w:left="1440" w:hanging="360"/>
      </w:pPr>
      <w:rPr>
        <w:rFonts w:ascii="Courier New" w:hAnsi="Courier New"/>
      </w:rPr>
    </w:lvl>
    <w:lvl w:ilvl="2" w:tplc="EFB6A472">
      <w:start w:val="1"/>
      <w:numFmt w:val="bullet"/>
      <w:lvlText w:val=""/>
      <w:lvlJc w:val="left"/>
      <w:pPr>
        <w:tabs>
          <w:tab w:val="num" w:pos="2160"/>
        </w:tabs>
        <w:ind w:left="2160" w:hanging="360"/>
      </w:pPr>
      <w:rPr>
        <w:rFonts w:ascii="Wingdings" w:hAnsi="Wingdings"/>
      </w:rPr>
    </w:lvl>
    <w:lvl w:ilvl="3" w:tplc="469ACDFA">
      <w:start w:val="1"/>
      <w:numFmt w:val="bullet"/>
      <w:lvlText w:val=""/>
      <w:lvlJc w:val="left"/>
      <w:pPr>
        <w:tabs>
          <w:tab w:val="num" w:pos="2880"/>
        </w:tabs>
        <w:ind w:left="2880" w:hanging="360"/>
      </w:pPr>
      <w:rPr>
        <w:rFonts w:ascii="Symbol" w:hAnsi="Symbol"/>
      </w:rPr>
    </w:lvl>
    <w:lvl w:ilvl="4" w:tplc="A18641A4">
      <w:start w:val="1"/>
      <w:numFmt w:val="bullet"/>
      <w:lvlText w:val="o"/>
      <w:lvlJc w:val="left"/>
      <w:pPr>
        <w:tabs>
          <w:tab w:val="num" w:pos="3600"/>
        </w:tabs>
        <w:ind w:left="3600" w:hanging="360"/>
      </w:pPr>
      <w:rPr>
        <w:rFonts w:ascii="Courier New" w:hAnsi="Courier New"/>
      </w:rPr>
    </w:lvl>
    <w:lvl w:ilvl="5" w:tplc="988472CC">
      <w:start w:val="1"/>
      <w:numFmt w:val="bullet"/>
      <w:lvlText w:val=""/>
      <w:lvlJc w:val="left"/>
      <w:pPr>
        <w:tabs>
          <w:tab w:val="num" w:pos="4320"/>
        </w:tabs>
        <w:ind w:left="4320" w:hanging="360"/>
      </w:pPr>
      <w:rPr>
        <w:rFonts w:ascii="Wingdings" w:hAnsi="Wingdings"/>
      </w:rPr>
    </w:lvl>
    <w:lvl w:ilvl="6" w:tplc="61F2079A">
      <w:start w:val="1"/>
      <w:numFmt w:val="bullet"/>
      <w:lvlText w:val=""/>
      <w:lvlJc w:val="left"/>
      <w:pPr>
        <w:tabs>
          <w:tab w:val="num" w:pos="5040"/>
        </w:tabs>
        <w:ind w:left="5040" w:hanging="360"/>
      </w:pPr>
      <w:rPr>
        <w:rFonts w:ascii="Symbol" w:hAnsi="Symbol"/>
      </w:rPr>
    </w:lvl>
    <w:lvl w:ilvl="7" w:tplc="E5D0035C">
      <w:start w:val="1"/>
      <w:numFmt w:val="bullet"/>
      <w:lvlText w:val="o"/>
      <w:lvlJc w:val="left"/>
      <w:pPr>
        <w:tabs>
          <w:tab w:val="num" w:pos="5760"/>
        </w:tabs>
        <w:ind w:left="5760" w:hanging="360"/>
      </w:pPr>
      <w:rPr>
        <w:rFonts w:ascii="Courier New" w:hAnsi="Courier New"/>
      </w:rPr>
    </w:lvl>
    <w:lvl w:ilvl="8" w:tplc="1D908142">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1E748802">
      <w:start w:val="1"/>
      <w:numFmt w:val="bullet"/>
      <w:lvlText w:val=""/>
      <w:lvlJc w:val="left"/>
      <w:pPr>
        <w:ind w:left="720" w:hanging="360"/>
      </w:pPr>
      <w:rPr>
        <w:rFonts w:ascii="Symbol" w:hAnsi="Symbol"/>
      </w:rPr>
    </w:lvl>
    <w:lvl w:ilvl="1" w:tplc="3BACA8F6">
      <w:start w:val="1"/>
      <w:numFmt w:val="bullet"/>
      <w:lvlText w:val="o"/>
      <w:lvlJc w:val="left"/>
      <w:pPr>
        <w:tabs>
          <w:tab w:val="num" w:pos="1440"/>
        </w:tabs>
        <w:ind w:left="1440" w:hanging="360"/>
      </w:pPr>
      <w:rPr>
        <w:rFonts w:ascii="Courier New" w:hAnsi="Courier New"/>
      </w:rPr>
    </w:lvl>
    <w:lvl w:ilvl="2" w:tplc="5596E8C0">
      <w:start w:val="1"/>
      <w:numFmt w:val="bullet"/>
      <w:lvlText w:val=""/>
      <w:lvlJc w:val="left"/>
      <w:pPr>
        <w:tabs>
          <w:tab w:val="num" w:pos="2160"/>
        </w:tabs>
        <w:ind w:left="2160" w:hanging="360"/>
      </w:pPr>
      <w:rPr>
        <w:rFonts w:ascii="Wingdings" w:hAnsi="Wingdings"/>
      </w:rPr>
    </w:lvl>
    <w:lvl w:ilvl="3" w:tplc="D19E2E18">
      <w:start w:val="1"/>
      <w:numFmt w:val="bullet"/>
      <w:lvlText w:val=""/>
      <w:lvlJc w:val="left"/>
      <w:pPr>
        <w:tabs>
          <w:tab w:val="num" w:pos="2880"/>
        </w:tabs>
        <w:ind w:left="2880" w:hanging="360"/>
      </w:pPr>
      <w:rPr>
        <w:rFonts w:ascii="Symbol" w:hAnsi="Symbol"/>
      </w:rPr>
    </w:lvl>
    <w:lvl w:ilvl="4" w:tplc="95D819C2">
      <w:start w:val="1"/>
      <w:numFmt w:val="bullet"/>
      <w:lvlText w:val="o"/>
      <w:lvlJc w:val="left"/>
      <w:pPr>
        <w:tabs>
          <w:tab w:val="num" w:pos="3600"/>
        </w:tabs>
        <w:ind w:left="3600" w:hanging="360"/>
      </w:pPr>
      <w:rPr>
        <w:rFonts w:ascii="Courier New" w:hAnsi="Courier New"/>
      </w:rPr>
    </w:lvl>
    <w:lvl w:ilvl="5" w:tplc="87066216">
      <w:start w:val="1"/>
      <w:numFmt w:val="bullet"/>
      <w:lvlText w:val=""/>
      <w:lvlJc w:val="left"/>
      <w:pPr>
        <w:tabs>
          <w:tab w:val="num" w:pos="4320"/>
        </w:tabs>
        <w:ind w:left="4320" w:hanging="360"/>
      </w:pPr>
      <w:rPr>
        <w:rFonts w:ascii="Wingdings" w:hAnsi="Wingdings"/>
      </w:rPr>
    </w:lvl>
    <w:lvl w:ilvl="6" w:tplc="56625C12">
      <w:start w:val="1"/>
      <w:numFmt w:val="bullet"/>
      <w:lvlText w:val=""/>
      <w:lvlJc w:val="left"/>
      <w:pPr>
        <w:tabs>
          <w:tab w:val="num" w:pos="5040"/>
        </w:tabs>
        <w:ind w:left="5040" w:hanging="360"/>
      </w:pPr>
      <w:rPr>
        <w:rFonts w:ascii="Symbol" w:hAnsi="Symbol"/>
      </w:rPr>
    </w:lvl>
    <w:lvl w:ilvl="7" w:tplc="B9CE9904">
      <w:start w:val="1"/>
      <w:numFmt w:val="bullet"/>
      <w:lvlText w:val="o"/>
      <w:lvlJc w:val="left"/>
      <w:pPr>
        <w:tabs>
          <w:tab w:val="num" w:pos="5760"/>
        </w:tabs>
        <w:ind w:left="5760" w:hanging="360"/>
      </w:pPr>
      <w:rPr>
        <w:rFonts w:ascii="Courier New" w:hAnsi="Courier New"/>
      </w:rPr>
    </w:lvl>
    <w:lvl w:ilvl="8" w:tplc="C7F0E00C">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6DEC97E6">
      <w:start w:val="1"/>
      <w:numFmt w:val="bullet"/>
      <w:lvlText w:val=""/>
      <w:lvlJc w:val="left"/>
      <w:pPr>
        <w:ind w:left="720" w:hanging="360"/>
      </w:pPr>
      <w:rPr>
        <w:rFonts w:ascii="Symbol" w:hAnsi="Symbol"/>
      </w:rPr>
    </w:lvl>
    <w:lvl w:ilvl="1" w:tplc="EF4E40C0">
      <w:start w:val="1"/>
      <w:numFmt w:val="bullet"/>
      <w:lvlText w:val="o"/>
      <w:lvlJc w:val="left"/>
      <w:pPr>
        <w:tabs>
          <w:tab w:val="num" w:pos="1440"/>
        </w:tabs>
        <w:ind w:left="1440" w:hanging="360"/>
      </w:pPr>
      <w:rPr>
        <w:rFonts w:ascii="Courier New" w:hAnsi="Courier New"/>
      </w:rPr>
    </w:lvl>
    <w:lvl w:ilvl="2" w:tplc="7C66E514">
      <w:start w:val="1"/>
      <w:numFmt w:val="bullet"/>
      <w:lvlText w:val=""/>
      <w:lvlJc w:val="left"/>
      <w:pPr>
        <w:tabs>
          <w:tab w:val="num" w:pos="2160"/>
        </w:tabs>
        <w:ind w:left="2160" w:hanging="360"/>
      </w:pPr>
      <w:rPr>
        <w:rFonts w:ascii="Wingdings" w:hAnsi="Wingdings"/>
      </w:rPr>
    </w:lvl>
    <w:lvl w:ilvl="3" w:tplc="BFDE18B2">
      <w:start w:val="1"/>
      <w:numFmt w:val="bullet"/>
      <w:lvlText w:val=""/>
      <w:lvlJc w:val="left"/>
      <w:pPr>
        <w:tabs>
          <w:tab w:val="num" w:pos="2880"/>
        </w:tabs>
        <w:ind w:left="2880" w:hanging="360"/>
      </w:pPr>
      <w:rPr>
        <w:rFonts w:ascii="Symbol" w:hAnsi="Symbol"/>
      </w:rPr>
    </w:lvl>
    <w:lvl w:ilvl="4" w:tplc="D6F64E0E">
      <w:start w:val="1"/>
      <w:numFmt w:val="bullet"/>
      <w:lvlText w:val="o"/>
      <w:lvlJc w:val="left"/>
      <w:pPr>
        <w:tabs>
          <w:tab w:val="num" w:pos="3600"/>
        </w:tabs>
        <w:ind w:left="3600" w:hanging="360"/>
      </w:pPr>
      <w:rPr>
        <w:rFonts w:ascii="Courier New" w:hAnsi="Courier New"/>
      </w:rPr>
    </w:lvl>
    <w:lvl w:ilvl="5" w:tplc="D660E1C4">
      <w:start w:val="1"/>
      <w:numFmt w:val="bullet"/>
      <w:lvlText w:val=""/>
      <w:lvlJc w:val="left"/>
      <w:pPr>
        <w:tabs>
          <w:tab w:val="num" w:pos="4320"/>
        </w:tabs>
        <w:ind w:left="4320" w:hanging="360"/>
      </w:pPr>
      <w:rPr>
        <w:rFonts w:ascii="Wingdings" w:hAnsi="Wingdings"/>
      </w:rPr>
    </w:lvl>
    <w:lvl w:ilvl="6" w:tplc="E21497FE">
      <w:start w:val="1"/>
      <w:numFmt w:val="bullet"/>
      <w:lvlText w:val=""/>
      <w:lvlJc w:val="left"/>
      <w:pPr>
        <w:tabs>
          <w:tab w:val="num" w:pos="5040"/>
        </w:tabs>
        <w:ind w:left="5040" w:hanging="360"/>
      </w:pPr>
      <w:rPr>
        <w:rFonts w:ascii="Symbol" w:hAnsi="Symbol"/>
      </w:rPr>
    </w:lvl>
    <w:lvl w:ilvl="7" w:tplc="937EB414">
      <w:start w:val="1"/>
      <w:numFmt w:val="bullet"/>
      <w:lvlText w:val="o"/>
      <w:lvlJc w:val="left"/>
      <w:pPr>
        <w:tabs>
          <w:tab w:val="num" w:pos="5760"/>
        </w:tabs>
        <w:ind w:left="5760" w:hanging="360"/>
      </w:pPr>
      <w:rPr>
        <w:rFonts w:ascii="Courier New" w:hAnsi="Courier New"/>
      </w:rPr>
    </w:lvl>
    <w:lvl w:ilvl="8" w:tplc="D6EA9120">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62D29C1E">
      <w:start w:val="1"/>
      <w:numFmt w:val="bullet"/>
      <w:lvlText w:val=""/>
      <w:lvlJc w:val="left"/>
      <w:pPr>
        <w:ind w:left="720" w:hanging="360"/>
      </w:pPr>
      <w:rPr>
        <w:rFonts w:ascii="Symbol" w:hAnsi="Symbol"/>
      </w:rPr>
    </w:lvl>
    <w:lvl w:ilvl="1" w:tplc="9BB03F3E">
      <w:start w:val="1"/>
      <w:numFmt w:val="bullet"/>
      <w:lvlText w:val="o"/>
      <w:lvlJc w:val="left"/>
      <w:pPr>
        <w:tabs>
          <w:tab w:val="num" w:pos="1440"/>
        </w:tabs>
        <w:ind w:left="1440" w:hanging="360"/>
      </w:pPr>
      <w:rPr>
        <w:rFonts w:ascii="Courier New" w:hAnsi="Courier New"/>
      </w:rPr>
    </w:lvl>
    <w:lvl w:ilvl="2" w:tplc="82D6B710">
      <w:start w:val="1"/>
      <w:numFmt w:val="bullet"/>
      <w:lvlText w:val=""/>
      <w:lvlJc w:val="left"/>
      <w:pPr>
        <w:tabs>
          <w:tab w:val="num" w:pos="2160"/>
        </w:tabs>
        <w:ind w:left="2160" w:hanging="360"/>
      </w:pPr>
      <w:rPr>
        <w:rFonts w:ascii="Wingdings" w:hAnsi="Wingdings"/>
      </w:rPr>
    </w:lvl>
    <w:lvl w:ilvl="3" w:tplc="7BBE96DC">
      <w:start w:val="1"/>
      <w:numFmt w:val="bullet"/>
      <w:lvlText w:val=""/>
      <w:lvlJc w:val="left"/>
      <w:pPr>
        <w:tabs>
          <w:tab w:val="num" w:pos="2880"/>
        </w:tabs>
        <w:ind w:left="2880" w:hanging="360"/>
      </w:pPr>
      <w:rPr>
        <w:rFonts w:ascii="Symbol" w:hAnsi="Symbol"/>
      </w:rPr>
    </w:lvl>
    <w:lvl w:ilvl="4" w:tplc="DD32466E">
      <w:start w:val="1"/>
      <w:numFmt w:val="bullet"/>
      <w:lvlText w:val="o"/>
      <w:lvlJc w:val="left"/>
      <w:pPr>
        <w:tabs>
          <w:tab w:val="num" w:pos="3600"/>
        </w:tabs>
        <w:ind w:left="3600" w:hanging="360"/>
      </w:pPr>
      <w:rPr>
        <w:rFonts w:ascii="Courier New" w:hAnsi="Courier New"/>
      </w:rPr>
    </w:lvl>
    <w:lvl w:ilvl="5" w:tplc="374489AC">
      <w:start w:val="1"/>
      <w:numFmt w:val="bullet"/>
      <w:lvlText w:val=""/>
      <w:lvlJc w:val="left"/>
      <w:pPr>
        <w:tabs>
          <w:tab w:val="num" w:pos="4320"/>
        </w:tabs>
        <w:ind w:left="4320" w:hanging="360"/>
      </w:pPr>
      <w:rPr>
        <w:rFonts w:ascii="Wingdings" w:hAnsi="Wingdings"/>
      </w:rPr>
    </w:lvl>
    <w:lvl w:ilvl="6" w:tplc="0F102164">
      <w:start w:val="1"/>
      <w:numFmt w:val="bullet"/>
      <w:lvlText w:val=""/>
      <w:lvlJc w:val="left"/>
      <w:pPr>
        <w:tabs>
          <w:tab w:val="num" w:pos="5040"/>
        </w:tabs>
        <w:ind w:left="5040" w:hanging="360"/>
      </w:pPr>
      <w:rPr>
        <w:rFonts w:ascii="Symbol" w:hAnsi="Symbol"/>
      </w:rPr>
    </w:lvl>
    <w:lvl w:ilvl="7" w:tplc="69160410">
      <w:start w:val="1"/>
      <w:numFmt w:val="bullet"/>
      <w:lvlText w:val="o"/>
      <w:lvlJc w:val="left"/>
      <w:pPr>
        <w:tabs>
          <w:tab w:val="num" w:pos="5760"/>
        </w:tabs>
        <w:ind w:left="5760" w:hanging="360"/>
      </w:pPr>
      <w:rPr>
        <w:rFonts w:ascii="Courier New" w:hAnsi="Courier New"/>
      </w:rPr>
    </w:lvl>
    <w:lvl w:ilvl="8" w:tplc="43C670CC">
      <w:start w:val="1"/>
      <w:numFmt w:val="bullet"/>
      <w:lvlText w:val=""/>
      <w:lvlJc w:val="left"/>
      <w:pPr>
        <w:tabs>
          <w:tab w:val="num" w:pos="6480"/>
        </w:tabs>
        <w:ind w:left="6480" w:hanging="360"/>
      </w:pPr>
      <w:rPr>
        <w:rFonts w:ascii="Wingdings" w:hAnsi="Wingdings"/>
      </w:rPr>
    </w:lvl>
  </w:abstractNum>
  <w:abstractNum w:abstractNumId="10" w15:restartNumberingAfterBreak="1">
    <w:nsid w:val="7B3730E5"/>
    <w:multiLevelType w:val="hybridMultilevel"/>
    <w:tmpl w:val="7B3730E5"/>
    <w:lvl w:ilvl="0" w:tplc="C8F4C638">
      <w:start w:val="1"/>
      <w:numFmt w:val="bullet"/>
      <w:lvlText w:val=""/>
      <w:lvlJc w:val="left"/>
      <w:pPr>
        <w:ind w:left="720" w:hanging="360"/>
      </w:pPr>
      <w:rPr>
        <w:rFonts w:ascii="Symbol" w:hAnsi="Symbol"/>
      </w:rPr>
    </w:lvl>
    <w:lvl w:ilvl="1" w:tplc="FC98FEB8">
      <w:start w:val="1"/>
      <w:numFmt w:val="bullet"/>
      <w:lvlText w:val="o"/>
      <w:lvlJc w:val="left"/>
      <w:pPr>
        <w:tabs>
          <w:tab w:val="num" w:pos="1440"/>
        </w:tabs>
        <w:ind w:left="1440" w:hanging="360"/>
      </w:pPr>
      <w:rPr>
        <w:rFonts w:ascii="Courier New" w:hAnsi="Courier New"/>
      </w:rPr>
    </w:lvl>
    <w:lvl w:ilvl="2" w:tplc="933C02E4">
      <w:start w:val="1"/>
      <w:numFmt w:val="bullet"/>
      <w:lvlText w:val=""/>
      <w:lvlJc w:val="left"/>
      <w:pPr>
        <w:tabs>
          <w:tab w:val="num" w:pos="2160"/>
        </w:tabs>
        <w:ind w:left="2160" w:hanging="360"/>
      </w:pPr>
      <w:rPr>
        <w:rFonts w:ascii="Wingdings" w:hAnsi="Wingdings"/>
      </w:rPr>
    </w:lvl>
    <w:lvl w:ilvl="3" w:tplc="54164790">
      <w:start w:val="1"/>
      <w:numFmt w:val="bullet"/>
      <w:lvlText w:val=""/>
      <w:lvlJc w:val="left"/>
      <w:pPr>
        <w:tabs>
          <w:tab w:val="num" w:pos="2880"/>
        </w:tabs>
        <w:ind w:left="2880" w:hanging="360"/>
      </w:pPr>
      <w:rPr>
        <w:rFonts w:ascii="Symbol" w:hAnsi="Symbol"/>
      </w:rPr>
    </w:lvl>
    <w:lvl w:ilvl="4" w:tplc="C5FE5BA4">
      <w:start w:val="1"/>
      <w:numFmt w:val="bullet"/>
      <w:lvlText w:val="o"/>
      <w:lvlJc w:val="left"/>
      <w:pPr>
        <w:tabs>
          <w:tab w:val="num" w:pos="3600"/>
        </w:tabs>
        <w:ind w:left="3600" w:hanging="360"/>
      </w:pPr>
      <w:rPr>
        <w:rFonts w:ascii="Courier New" w:hAnsi="Courier New"/>
      </w:rPr>
    </w:lvl>
    <w:lvl w:ilvl="5" w:tplc="3F2CFF44">
      <w:start w:val="1"/>
      <w:numFmt w:val="bullet"/>
      <w:lvlText w:val=""/>
      <w:lvlJc w:val="left"/>
      <w:pPr>
        <w:tabs>
          <w:tab w:val="num" w:pos="4320"/>
        </w:tabs>
        <w:ind w:left="4320" w:hanging="360"/>
      </w:pPr>
      <w:rPr>
        <w:rFonts w:ascii="Wingdings" w:hAnsi="Wingdings"/>
      </w:rPr>
    </w:lvl>
    <w:lvl w:ilvl="6" w:tplc="61C2ED12">
      <w:start w:val="1"/>
      <w:numFmt w:val="bullet"/>
      <w:lvlText w:val=""/>
      <w:lvlJc w:val="left"/>
      <w:pPr>
        <w:tabs>
          <w:tab w:val="num" w:pos="5040"/>
        </w:tabs>
        <w:ind w:left="5040" w:hanging="360"/>
      </w:pPr>
      <w:rPr>
        <w:rFonts w:ascii="Symbol" w:hAnsi="Symbol"/>
      </w:rPr>
    </w:lvl>
    <w:lvl w:ilvl="7" w:tplc="6D629FA0">
      <w:start w:val="1"/>
      <w:numFmt w:val="bullet"/>
      <w:lvlText w:val="o"/>
      <w:lvlJc w:val="left"/>
      <w:pPr>
        <w:tabs>
          <w:tab w:val="num" w:pos="5760"/>
        </w:tabs>
        <w:ind w:left="5760" w:hanging="360"/>
      </w:pPr>
      <w:rPr>
        <w:rFonts w:ascii="Courier New" w:hAnsi="Courier New"/>
      </w:rPr>
    </w:lvl>
    <w:lvl w:ilvl="8" w:tplc="3052347E">
      <w:start w:val="1"/>
      <w:numFmt w:val="bullet"/>
      <w:lvlText w:val=""/>
      <w:lvlJc w:val="left"/>
      <w:pPr>
        <w:tabs>
          <w:tab w:val="num" w:pos="6480"/>
        </w:tabs>
        <w:ind w:left="6480" w:hanging="360"/>
      </w:pPr>
      <w:rPr>
        <w:rFonts w:ascii="Wingdings" w:hAnsi="Wingdings"/>
      </w:rPr>
    </w:lvl>
  </w:abstractNum>
  <w:abstractNum w:abstractNumId="11" w15:restartNumberingAfterBreak="1">
    <w:nsid w:val="7B3730E6"/>
    <w:multiLevelType w:val="hybridMultilevel"/>
    <w:tmpl w:val="7B3730E6"/>
    <w:lvl w:ilvl="0" w:tplc="A5AA1690">
      <w:start w:val="1"/>
      <w:numFmt w:val="bullet"/>
      <w:lvlText w:val="o"/>
      <w:lvlJc w:val="left"/>
      <w:pPr>
        <w:ind w:left="720" w:hanging="360"/>
      </w:pPr>
      <w:rPr>
        <w:rFonts w:ascii="Courier New" w:hAnsi="Courier New"/>
      </w:rPr>
    </w:lvl>
    <w:lvl w:ilvl="1" w:tplc="05445660">
      <w:start w:val="1"/>
      <w:numFmt w:val="bullet"/>
      <w:lvlText w:val="o"/>
      <w:lvlJc w:val="left"/>
      <w:pPr>
        <w:tabs>
          <w:tab w:val="num" w:pos="1440"/>
        </w:tabs>
        <w:ind w:left="1440" w:hanging="360"/>
      </w:pPr>
      <w:rPr>
        <w:rFonts w:ascii="Courier New" w:hAnsi="Courier New"/>
      </w:rPr>
    </w:lvl>
    <w:lvl w:ilvl="2" w:tplc="12406772">
      <w:start w:val="1"/>
      <w:numFmt w:val="bullet"/>
      <w:lvlText w:val=""/>
      <w:lvlJc w:val="left"/>
      <w:pPr>
        <w:tabs>
          <w:tab w:val="num" w:pos="2160"/>
        </w:tabs>
        <w:ind w:left="2160" w:hanging="360"/>
      </w:pPr>
      <w:rPr>
        <w:rFonts w:ascii="Wingdings" w:hAnsi="Wingdings"/>
      </w:rPr>
    </w:lvl>
    <w:lvl w:ilvl="3" w:tplc="E3B64D08">
      <w:start w:val="1"/>
      <w:numFmt w:val="bullet"/>
      <w:lvlText w:val=""/>
      <w:lvlJc w:val="left"/>
      <w:pPr>
        <w:tabs>
          <w:tab w:val="num" w:pos="2880"/>
        </w:tabs>
        <w:ind w:left="2880" w:hanging="360"/>
      </w:pPr>
      <w:rPr>
        <w:rFonts w:ascii="Symbol" w:hAnsi="Symbol"/>
      </w:rPr>
    </w:lvl>
    <w:lvl w:ilvl="4" w:tplc="AB9E3F16">
      <w:start w:val="1"/>
      <w:numFmt w:val="bullet"/>
      <w:lvlText w:val="o"/>
      <w:lvlJc w:val="left"/>
      <w:pPr>
        <w:tabs>
          <w:tab w:val="num" w:pos="3600"/>
        </w:tabs>
        <w:ind w:left="3600" w:hanging="360"/>
      </w:pPr>
      <w:rPr>
        <w:rFonts w:ascii="Courier New" w:hAnsi="Courier New"/>
      </w:rPr>
    </w:lvl>
    <w:lvl w:ilvl="5" w:tplc="ABD24488">
      <w:start w:val="1"/>
      <w:numFmt w:val="bullet"/>
      <w:lvlText w:val=""/>
      <w:lvlJc w:val="left"/>
      <w:pPr>
        <w:tabs>
          <w:tab w:val="num" w:pos="4320"/>
        </w:tabs>
        <w:ind w:left="4320" w:hanging="360"/>
      </w:pPr>
      <w:rPr>
        <w:rFonts w:ascii="Wingdings" w:hAnsi="Wingdings"/>
      </w:rPr>
    </w:lvl>
    <w:lvl w:ilvl="6" w:tplc="AB2C590A">
      <w:start w:val="1"/>
      <w:numFmt w:val="bullet"/>
      <w:lvlText w:val=""/>
      <w:lvlJc w:val="left"/>
      <w:pPr>
        <w:tabs>
          <w:tab w:val="num" w:pos="5040"/>
        </w:tabs>
        <w:ind w:left="5040" w:hanging="360"/>
      </w:pPr>
      <w:rPr>
        <w:rFonts w:ascii="Symbol" w:hAnsi="Symbol"/>
      </w:rPr>
    </w:lvl>
    <w:lvl w:ilvl="7" w:tplc="4D9CB0C4">
      <w:start w:val="1"/>
      <w:numFmt w:val="bullet"/>
      <w:lvlText w:val="o"/>
      <w:lvlJc w:val="left"/>
      <w:pPr>
        <w:tabs>
          <w:tab w:val="num" w:pos="5760"/>
        </w:tabs>
        <w:ind w:left="5760" w:hanging="360"/>
      </w:pPr>
      <w:rPr>
        <w:rFonts w:ascii="Courier New" w:hAnsi="Courier New"/>
      </w:rPr>
    </w:lvl>
    <w:lvl w:ilvl="8" w:tplc="001A5C8A">
      <w:start w:val="1"/>
      <w:numFmt w:val="bullet"/>
      <w:lvlText w:val=""/>
      <w:lvlJc w:val="left"/>
      <w:pPr>
        <w:tabs>
          <w:tab w:val="num" w:pos="6480"/>
        </w:tabs>
        <w:ind w:left="6480" w:hanging="360"/>
      </w:pPr>
      <w:rPr>
        <w:rFonts w:ascii="Wingdings" w:hAnsi="Wingdings"/>
      </w:rPr>
    </w:lvl>
  </w:abstractNum>
  <w:num w:numId="1" w16cid:durableId="981085154">
    <w:abstractNumId w:val="1"/>
  </w:num>
  <w:num w:numId="2" w16cid:durableId="23135451">
    <w:abstractNumId w:val="2"/>
  </w:num>
  <w:num w:numId="3" w16cid:durableId="651955293">
    <w:abstractNumId w:val="0"/>
  </w:num>
  <w:num w:numId="4" w16cid:durableId="1938058500">
    <w:abstractNumId w:val="3"/>
  </w:num>
  <w:num w:numId="5" w16cid:durableId="1927496838">
    <w:abstractNumId w:val="4"/>
  </w:num>
  <w:num w:numId="6" w16cid:durableId="2107729648">
    <w:abstractNumId w:val="5"/>
  </w:num>
  <w:num w:numId="7" w16cid:durableId="4719138">
    <w:abstractNumId w:val="6"/>
  </w:num>
  <w:num w:numId="8" w16cid:durableId="476529529">
    <w:abstractNumId w:val="7"/>
  </w:num>
  <w:num w:numId="9" w16cid:durableId="872116935">
    <w:abstractNumId w:val="8"/>
  </w:num>
  <w:num w:numId="10" w16cid:durableId="620259426">
    <w:abstractNumId w:val="9"/>
  </w:num>
  <w:num w:numId="11" w16cid:durableId="1858343979">
    <w:abstractNumId w:val="10"/>
  </w:num>
  <w:num w:numId="12" w16cid:durableId="497504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403"/>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13E3"/>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8F7CBA"/>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31A53"/>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 w:type="table" w:customStyle="1" w:styleId="table">
    <w:name w:val="table"/>
    <w:basedOn w:val="Standaardtabe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8198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2025-12-19T20:08:00Z</dcterms:created>
  <dcterms:modified xsi:type="dcterms:W3CDTF">2025-12-19T20:08:00Z</dcterms:modified>
</cp:coreProperties>
</file>