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4D036" w14:textId="5A4BBBB0" w:rsidR="0096666E" w:rsidRPr="00483C0D" w:rsidRDefault="00873F98"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873F98"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24-10-2024</w:t>
      </w:r>
    </w:p>
    <w:p w14:paraId="2D24D039" w14:textId="77777777" w:rsidR="0096666E" w:rsidRDefault="00873F98" w:rsidP="0096666E">
      <w:pPr>
        <w:pStyle w:val="Standaard1"/>
        <w:jc w:val="center"/>
        <w:rPr>
          <w:rFonts w:ascii="Arial" w:hAnsi="Arial" w:cs="Arial"/>
        </w:rPr>
      </w:pPr>
      <w:r>
        <w:rPr>
          <w:rFonts w:ascii="Arial" w:hAnsi="Arial" w:cs="Arial"/>
        </w:rPr>
        <w:t>***************************************</w:t>
      </w:r>
    </w:p>
    <w:p w14:paraId="2D24D03A" w14:textId="77777777" w:rsidR="005500AC" w:rsidRDefault="00873F98"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Kristof De Leeuw</w:t>
      </w:r>
      <w:r w:rsidR="00873F98" w:rsidRPr="0033354C">
        <w:rPr>
          <w:rFonts w:ascii="Arial" w:hAnsi="Arial" w:cs="Arial"/>
          <w:noProof/>
          <w:lang w:val="nl-BE"/>
        </w:rPr>
        <w:t>, voorzitter gemeenteraad (wnd.)</w:t>
      </w:r>
    </w:p>
    <w:p w14:paraId="6D1EA19F" w14:textId="77777777" w:rsidR="005C59DB" w:rsidRPr="0033354C" w:rsidRDefault="00873F98" w:rsidP="002B0D49">
      <w:pPr>
        <w:pStyle w:val="Standaard1"/>
        <w:rPr>
          <w:rFonts w:ascii="Arial" w:hAnsi="Arial" w:cs="Arial"/>
          <w:lang w:val="nl-BE"/>
        </w:rPr>
      </w:pPr>
      <w:r w:rsidRPr="0033354C">
        <w:rPr>
          <w:rFonts w:ascii="Arial" w:hAnsi="Arial" w:cs="Arial"/>
          <w:noProof/>
          <w:lang w:val="nl-BE"/>
        </w:rPr>
        <w:t xml:space="preserve">Frans Holsters, Fred Dielens, Jozef Borremans, Guido Van Cauwelaert, Gunter </w:t>
      </w:r>
      <w:r w:rsidRPr="0033354C">
        <w:rPr>
          <w:rFonts w:ascii="Arial" w:hAnsi="Arial" w:cs="Arial"/>
          <w:noProof/>
          <w:lang w:val="nl-BE"/>
        </w:rPr>
        <w:t>Desmet, Rutger Belsack, Sven De Paepe, Christiane Servranckx, Geert De Feyter, Ines Swaelens, Anna Parys, Sophie Claeys, Timo Schoukens, Kris De Meuter, Hannes Verdoodt, Steve Convents, Vera Servranckx, Maria Segers, Yo De Beule, gemeenteraadsleden</w:t>
      </w:r>
    </w:p>
    <w:p w14:paraId="4B2B432D" w14:textId="77777777" w:rsidR="0096666E" w:rsidRDefault="00873F98" w:rsidP="002B0D49">
      <w:pPr>
        <w:pStyle w:val="Standaard1"/>
        <w:rPr>
          <w:rFonts w:ascii="Arial" w:hAnsi="Arial" w:cs="Arial"/>
        </w:rPr>
      </w:pPr>
      <w:r w:rsidRPr="0033354C">
        <w:rPr>
          <w:rFonts w:ascii="Arial" w:hAnsi="Arial" w:cs="Arial"/>
          <w:noProof/>
          <w:lang w:val="nl-BE"/>
        </w:rPr>
        <w:t>Sieglinde De Mulder, algemeen directeur</w:t>
      </w:r>
    </w:p>
    <w:p w14:paraId="2D24D03D" w14:textId="6B0D3F31" w:rsidR="0096666E" w:rsidRDefault="00873F98" w:rsidP="0096666E">
      <w:pPr>
        <w:pStyle w:val="Standaard1"/>
        <w:rPr>
          <w:rFonts w:ascii="Arial" w:hAnsi="Arial" w:cs="Arial"/>
          <w:u w:val="single"/>
        </w:rPr>
      </w:pPr>
      <w:r>
        <w:rPr>
          <w:rFonts w:ascii="Arial" w:hAnsi="Arial" w:cs="Arial"/>
        </w:rPr>
        <w:t xml:space="preserve">                                  </w:t>
      </w:r>
    </w:p>
    <w:p w14:paraId="2D24D03F" w14:textId="0418EC34" w:rsidR="0096666E" w:rsidRDefault="00873F98"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 xml:space="preserve">Michel Vanderhasselt, </w:t>
      </w:r>
      <w:r w:rsidR="00873F98" w:rsidRPr="0033354C">
        <w:rPr>
          <w:rFonts w:ascii="Arial" w:hAnsi="Arial" w:cs="Arial"/>
          <w:noProof/>
          <w:lang w:val="nl-BE"/>
        </w:rPr>
        <w:t>burgemeester</w:t>
      </w:r>
    </w:p>
    <w:p w14:paraId="55BCFD46" w14:textId="77777777" w:rsidR="0096666E" w:rsidRPr="0033354C" w:rsidRDefault="00873F98" w:rsidP="002B0D49">
      <w:pPr>
        <w:pStyle w:val="Standaard1"/>
        <w:rPr>
          <w:rFonts w:ascii="Arial" w:hAnsi="Arial" w:cs="Arial"/>
        </w:rPr>
      </w:pPr>
      <w:r w:rsidRPr="0033354C">
        <w:rPr>
          <w:rFonts w:ascii="Arial" w:hAnsi="Arial" w:cs="Arial"/>
          <w:noProof/>
          <w:lang w:val="nl-BE"/>
        </w:rPr>
        <w:t xml:space="preserve">Nele Vandenbulcke, Arno De Paepe, </w:t>
      </w:r>
      <w:r w:rsidRPr="0033354C">
        <w:rPr>
          <w:rFonts w:ascii="Arial" w:hAnsi="Arial" w:cs="Arial"/>
          <w:noProof/>
          <w:lang w:val="nl-BE"/>
        </w:rPr>
        <w:t>Jochen De Mulder, Hilde Van der Cruys, gemeenteraadsleden</w:t>
      </w:r>
    </w:p>
    <w:p w14:paraId="2D24D041" w14:textId="77777777" w:rsidR="00F042CE" w:rsidRDefault="00873F98" w:rsidP="00EB7E06">
      <w:pPr>
        <w:spacing w:after="0"/>
      </w:pPr>
      <w:r>
        <w:rPr>
          <w:noProof/>
          <w:lang w:eastAsia="nl-BE"/>
        </w:rPr>
        <mc:AlternateContent>
          <mc:Choice Requires="wps">
            <w:drawing>
              <wp:anchor distT="0" distB="0" distL="114300" distR="114300" simplePos="0" relativeHeight="251658240" behindDoc="0" locked="0" layoutInCell="1" allowOverlap="1" wp14:anchorId="718F51AB" wp14:editId="223CFA38">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61312"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5C59DB" w14:paraId="2D24D044" w14:textId="77777777" w:rsidTr="00E82FA5">
        <w:trPr>
          <w:trHeight w:val="284"/>
        </w:trPr>
        <w:tc>
          <w:tcPr>
            <w:tcW w:w="380" w:type="dxa"/>
            <w:tcBorders>
              <w:top w:val="nil"/>
              <w:left w:val="nil"/>
              <w:bottom w:val="nil"/>
              <w:right w:val="nil"/>
            </w:tcBorders>
          </w:tcPr>
          <w:p w14:paraId="2D24D042" w14:textId="4CCC22B6"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Gemeentelijk aanvullend</w:t>
            </w:r>
            <w:r w:rsidR="00873F98" w:rsidRPr="007B753D">
              <w:rPr>
                <w:b/>
                <w:bCs/>
                <w:noProof/>
              </w:rPr>
              <w:t xml:space="preserve"> reglement Muilemlaan te 1742 Ternat</w:t>
            </w:r>
            <w:r w:rsidR="006C76DC" w:rsidRPr="007B753D">
              <w:rPr>
                <w:b/>
                <w:bCs/>
              </w:rPr>
              <w:t xml:space="preserve"> </w:t>
            </w:r>
          </w:p>
        </w:tc>
      </w:tr>
      <w:tr w:rsidR="005C59DB"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873F98"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2D24D049" w14:textId="77777777" w:rsidR="00FC46D9" w:rsidRPr="00FC46D9" w:rsidRDefault="00873F98" w:rsidP="00130698">
            <w:pPr>
              <w:rPr>
                <w:b/>
              </w:rPr>
            </w:pPr>
            <w:r w:rsidRPr="00FC46D9">
              <w:rPr>
                <w:b/>
              </w:rPr>
              <w:t>Bevoegdheid</w:t>
            </w:r>
          </w:p>
          <w:p w14:paraId="4E4D3DCC" w14:textId="77777777" w:rsidR="0041202F" w:rsidRDefault="00873F98" w:rsidP="00536544">
            <w:pPr>
              <w:numPr>
                <w:ilvl w:val="0"/>
                <w:numId w:val="5"/>
              </w:numPr>
              <w:rPr>
                <w:noProof/>
              </w:rPr>
            </w:pPr>
            <w:r>
              <w:rPr>
                <w:noProof/>
              </w:rPr>
              <w:t xml:space="preserve">Decreet lokaal bestuur van 22 december 2017 - artikel 40 en 41 betreffende de </w:t>
            </w:r>
            <w:r>
              <w:rPr>
                <w:noProof/>
              </w:rPr>
              <w:t>bevoegdheden van de gemeenteraad</w:t>
            </w:r>
          </w:p>
        </w:tc>
      </w:tr>
      <w:tr w:rsidR="005C59DB"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873F98" w:rsidP="00DA2F10">
            <w:pPr>
              <w:rPr>
                <w:b/>
              </w:rPr>
            </w:pPr>
            <w:r>
              <w:rPr>
                <w:b/>
              </w:rPr>
              <w:t>Juridische grond</w:t>
            </w:r>
          </w:p>
          <w:p w14:paraId="04488D03" w14:textId="77777777" w:rsidR="0041202F" w:rsidRDefault="00873F98" w:rsidP="00536544">
            <w:pPr>
              <w:numPr>
                <w:ilvl w:val="0"/>
                <w:numId w:val="6"/>
              </w:numPr>
              <w:rPr>
                <w:noProof/>
              </w:rPr>
            </w:pPr>
            <w:r>
              <w:rPr>
                <w:noProof/>
              </w:rPr>
              <w:t>Wet van 16 maart 1968 betreffende de politie over het wegverkeer, gecoördineerd bij koninklijk besluit van 16 maart 1968</w:t>
            </w:r>
          </w:p>
          <w:p w14:paraId="6E564DA8" w14:textId="77777777" w:rsidR="0041202F" w:rsidRDefault="00873F98" w:rsidP="00536544">
            <w:pPr>
              <w:numPr>
                <w:ilvl w:val="0"/>
                <w:numId w:val="6"/>
              </w:numPr>
              <w:rPr>
                <w:noProof/>
              </w:rPr>
            </w:pPr>
            <w:r>
              <w:rPr>
                <w:noProof/>
              </w:rPr>
              <w:t xml:space="preserve">Decreet van 16 mei 2008 betreffende de aanvullende reglementen op het </w:t>
            </w:r>
            <w:r>
              <w:rPr>
                <w:noProof/>
              </w:rPr>
              <w:t>wegverkeer en de plaatsing en bekostiging van de verkeerstekens</w:t>
            </w:r>
          </w:p>
          <w:p w14:paraId="7FEE0E41" w14:textId="77777777" w:rsidR="0041202F" w:rsidRDefault="00873F98" w:rsidP="00536544">
            <w:pPr>
              <w:numPr>
                <w:ilvl w:val="0"/>
                <w:numId w:val="6"/>
              </w:numPr>
              <w:rPr>
                <w:noProof/>
              </w:rPr>
            </w:pPr>
            <w:r>
              <w:rPr>
                <w:noProof/>
              </w:rPr>
              <w:t>Uitvoeringsbesluit d.d. 23 januari 2009 betreffende de aanvullende reglementen op het wegverkeer en de plaatsing en bekostiging van de verkeerstekens</w:t>
            </w:r>
          </w:p>
          <w:p w14:paraId="6AA5C6ED" w14:textId="77777777" w:rsidR="0041202F" w:rsidRDefault="00873F98" w:rsidP="00536544">
            <w:pPr>
              <w:numPr>
                <w:ilvl w:val="0"/>
                <w:numId w:val="6"/>
              </w:numPr>
              <w:rPr>
                <w:noProof/>
              </w:rPr>
            </w:pPr>
            <w:r>
              <w:rPr>
                <w:noProof/>
              </w:rPr>
              <w:t>Koninklijk besluit van 1 december 1975 betreffende het algemeen reglement op de politie van het wegverkeer en van het gebruik van de openbare weg</w:t>
            </w:r>
          </w:p>
          <w:p w14:paraId="74CD60EA" w14:textId="77777777" w:rsidR="0041202F" w:rsidRDefault="00873F98" w:rsidP="00536544">
            <w:pPr>
              <w:numPr>
                <w:ilvl w:val="0"/>
                <w:numId w:val="6"/>
              </w:numPr>
              <w:rPr>
                <w:noProof/>
              </w:rPr>
            </w:pPr>
            <w:r>
              <w:rPr>
                <w:noProof/>
              </w:rPr>
              <w:t>Ministerieel besluit van 11 oktober 1976 betreffende de minimumafmetingen en de bijzondere plaatsingsvoorwaarden van de verkeerstekens</w:t>
            </w:r>
          </w:p>
          <w:p w14:paraId="060BE3A7" w14:textId="77777777" w:rsidR="0041202F" w:rsidRDefault="00873F98" w:rsidP="00536544">
            <w:pPr>
              <w:numPr>
                <w:ilvl w:val="0"/>
                <w:numId w:val="6"/>
              </w:numPr>
              <w:rPr>
                <w:noProof/>
              </w:rPr>
            </w:pPr>
            <w:r>
              <w:rPr>
                <w:noProof/>
              </w:rPr>
              <w:t>Omzendbrief MOB/2009/1 van 3 april 2009 betreffende gemeentelijke aanvullende reglementen op de politie over het wegverkeer</w:t>
            </w:r>
          </w:p>
        </w:tc>
      </w:tr>
      <w:tr w:rsidR="005C59DB"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873F98" w:rsidP="00DA2F10">
            <w:pPr>
              <w:rPr>
                <w:b/>
              </w:rPr>
            </w:pPr>
            <w:r>
              <w:rPr>
                <w:b/>
              </w:rPr>
              <w:t>Considerans</w:t>
            </w:r>
          </w:p>
          <w:p w14:paraId="11292DDA" w14:textId="77777777" w:rsidR="0041202F" w:rsidRDefault="00873F98" w:rsidP="00536544">
            <w:pPr>
              <w:rPr>
                <w:noProof/>
              </w:rPr>
            </w:pPr>
            <w:r>
              <w:rPr>
                <w:noProof/>
              </w:rPr>
              <w:t>Het aanvullend reglement betreft enkel gemeentewegen. In het subsidiedossier 'veilige schoolomgeving Droomgaard Meersstraat' van 30 mei 2024 wordt de Muilemlaan fietszone, krijgt de Muilemlaan voorrang op alle aansluitende straten en wordt er een oversteekplaats voor voetgangers aangelegd. Tevens is een aanvullend reglement opgesteld waarbij de Schoolstraat woonerf wordt.</w:t>
            </w:r>
          </w:p>
          <w:p w14:paraId="73D0AFCD" w14:textId="77777777" w:rsidR="0041202F" w:rsidRDefault="00873F98" w:rsidP="00536544">
            <w:pPr>
              <w:rPr>
                <w:noProof/>
              </w:rPr>
            </w:pPr>
            <w:r>
              <w:rPr>
                <w:noProof/>
              </w:rPr>
              <w:t>Het college van burgemeester en schepenen verleende in zitting van 12 september 2024 zijn goedkeuring mits mits het aanbrengen van de volgende aanpassing: 'fietsstraat beperken tussen Dennestraat en Rodestraat nr. 1.3'.</w:t>
            </w:r>
          </w:p>
          <w:p w14:paraId="3593EC71" w14:textId="77777777" w:rsidR="0041202F" w:rsidRDefault="00873F98" w:rsidP="00536544">
            <w:pPr>
              <w:rPr>
                <w:noProof/>
              </w:rPr>
            </w:pPr>
            <w:r>
              <w:rPr>
                <w:noProof/>
              </w:rPr>
              <w:t>Het college van burgemeester en schepenen besliste in zitting van 26 september 2024, op basis van het verslag van de bewonersvergadering schoolomgeving Meersstraat - Muilemlaan van 12 september 2024, volgende aanpassing toe te voegen: 'een verbod op stilstaan en parkeren in de Muilemlaan vanaf de Rodestraat tot de Dennestraat tijdens het begin en einde van de schooltijd'.</w:t>
            </w:r>
          </w:p>
          <w:p w14:paraId="39E03E36" w14:textId="77777777" w:rsidR="00143ECB" w:rsidRDefault="00143ECB" w:rsidP="00536544">
            <w:pPr>
              <w:rPr>
                <w:noProof/>
              </w:rPr>
            </w:pPr>
          </w:p>
          <w:p w14:paraId="4ABEBE8F" w14:textId="77777777" w:rsidR="00143ECB" w:rsidRDefault="00143ECB" w:rsidP="00536544">
            <w:pPr>
              <w:rPr>
                <w:noProof/>
              </w:rPr>
            </w:pPr>
          </w:p>
          <w:p w14:paraId="5348B800" w14:textId="77777777" w:rsidR="00143ECB" w:rsidRDefault="00143ECB" w:rsidP="00536544">
            <w:pPr>
              <w:rPr>
                <w:noProof/>
              </w:rPr>
            </w:pPr>
          </w:p>
          <w:p w14:paraId="27F540BD" w14:textId="77777777" w:rsidR="00143ECB" w:rsidRDefault="00143ECB" w:rsidP="00536544">
            <w:pPr>
              <w:rPr>
                <w:noProof/>
              </w:rPr>
            </w:pPr>
          </w:p>
        </w:tc>
      </w:tr>
      <w:tr w:rsidR="005C59DB"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873F98" w:rsidP="00020EEF">
            <w:pPr>
              <w:rPr>
                <w:b/>
              </w:rPr>
            </w:pPr>
            <w:r>
              <w:rPr>
                <w:b/>
              </w:rPr>
              <w:t>Adviezen en voorstel</w:t>
            </w:r>
          </w:p>
          <w:p w14:paraId="06C1507B" w14:textId="77777777" w:rsidR="0041202F" w:rsidRDefault="00873F98" w:rsidP="0010034E">
            <w:pPr>
              <w:numPr>
                <w:ilvl w:val="0"/>
                <w:numId w:val="7"/>
              </w:numPr>
              <w:rPr>
                <w:noProof/>
              </w:rPr>
            </w:pPr>
            <w:r>
              <w:rPr>
                <w:noProof/>
              </w:rPr>
              <w:t>Op voorstel van het college van burgemeester en schepenen in zitting van 12 september 2024</w:t>
            </w:r>
          </w:p>
          <w:p w14:paraId="2D24D05B" w14:textId="77777777" w:rsidR="00253769" w:rsidRPr="00DA2F10" w:rsidRDefault="00873F98" w:rsidP="00253769">
            <w:pPr>
              <w:rPr>
                <w:b/>
              </w:rPr>
            </w:pPr>
            <w:r>
              <w:rPr>
                <w:b/>
              </w:rPr>
              <w:t>Stemming</w:t>
            </w:r>
          </w:p>
          <w:p w14:paraId="3309D643" w14:textId="77777777" w:rsidR="0070399E" w:rsidRDefault="0041202F" w:rsidP="0070399E">
            <w:pPr>
              <w:rPr>
                <w:bCs/>
                <w:noProof/>
              </w:rPr>
            </w:pPr>
            <w:r>
              <w:rPr>
                <w:bCs/>
                <w:noProof/>
              </w:rPr>
              <w:t>Goedgekeurd met</w:t>
            </w:r>
            <w:r w:rsidR="00873F98" w:rsidRPr="008B2969">
              <w:rPr>
                <w:bCs/>
                <w:noProof/>
              </w:rPr>
              <w:t xml:space="preserve"> eenparigheid van stemmen.</w:t>
            </w:r>
          </w:p>
          <w:p w14:paraId="09DBE89D" w14:textId="6DE2B199" w:rsidR="00143ECB" w:rsidRPr="008B2969" w:rsidRDefault="00143ECB" w:rsidP="0070399E">
            <w:pPr>
              <w:rPr>
                <w:bCs/>
                <w:noProof/>
              </w:rPr>
            </w:pPr>
          </w:p>
        </w:tc>
      </w:tr>
      <w:tr w:rsidR="005C59DB"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873F98" w:rsidP="00DA2F10">
            <w:pPr>
              <w:rPr>
                <w:b/>
              </w:rPr>
            </w:pPr>
            <w:r>
              <w:rPr>
                <w:b/>
              </w:rPr>
              <w:t>Besluit</w:t>
            </w:r>
          </w:p>
          <w:p w14:paraId="41392C8A" w14:textId="77777777" w:rsidR="0041202F" w:rsidRDefault="00873F98" w:rsidP="0010034E">
            <w:pPr>
              <w:rPr>
                <w:noProof/>
              </w:rPr>
            </w:pPr>
            <w:r>
              <w:rPr>
                <w:noProof/>
                <w:u w:val="single"/>
              </w:rPr>
              <w:t>Artikel 1.</w:t>
            </w:r>
            <w:r>
              <w:rPr>
                <w:noProof/>
              </w:rPr>
              <w:t> De raad keurt het gemeentelijk aanvullend reglement betreffende de Muilemlaan te 1742 Ternat goed.</w:t>
            </w:r>
          </w:p>
          <w:p w14:paraId="496E8A44" w14:textId="77777777" w:rsidR="0041202F" w:rsidRDefault="00873F98" w:rsidP="0010034E">
            <w:pPr>
              <w:rPr>
                <w:noProof/>
              </w:rPr>
            </w:pPr>
            <w:r>
              <w:rPr>
                <w:noProof/>
                <w:u w:val="single"/>
              </w:rPr>
              <w:t>Artikel 2.</w:t>
            </w:r>
            <w:r>
              <w:rPr>
                <w:noProof/>
              </w:rPr>
              <w:t xml:space="preserve"> Op de Muilemlaan ter hoogte van de Rodestraat en de Bosstraat geldt: de bestuurders moeten stoppen en voorrang verlenen. De plaats waar de bestuurders moeten stoppen ingevolge het verkeersbord B5 wordt aangeduid.</w:t>
            </w:r>
            <w:r>
              <w:rPr>
                <w:noProof/>
              </w:rPr>
              <w:br/>
              <w:t>Dit wordt aangeduid door verkeerstekens:</w:t>
            </w:r>
            <w:r>
              <w:rPr>
                <w:noProof/>
              </w:rPr>
              <w:br/>
              <w:t>- verkeersbord B5</w:t>
            </w:r>
            <w:r>
              <w:rPr>
                <w:noProof/>
              </w:rPr>
              <w:br/>
              <w:t>- wegmarkeringen artikel 76.1.</w:t>
            </w:r>
          </w:p>
          <w:p w14:paraId="30BB2E44" w14:textId="77777777" w:rsidR="0041202F" w:rsidRDefault="00873F98" w:rsidP="0010034E">
            <w:pPr>
              <w:rPr>
                <w:noProof/>
              </w:rPr>
            </w:pPr>
            <w:r>
              <w:rPr>
                <w:noProof/>
                <w:u w:val="single"/>
              </w:rPr>
              <w:t>Artikel 3.</w:t>
            </w:r>
            <w:r>
              <w:rPr>
                <w:noProof/>
              </w:rPr>
              <w:t xml:space="preserve"> In het gebied Muilemlaan begrensd door de Rodestraat en de Dennenstraat geldt: de fietszone wordt afgebakend. Het begin en einde van de fietszone wordt aangeduid.</w:t>
            </w:r>
            <w:r>
              <w:rPr>
                <w:noProof/>
              </w:rPr>
              <w:br/>
              <w:t>Dit wordt aangeduid door verkeerstekens:</w:t>
            </w:r>
            <w:r>
              <w:rPr>
                <w:noProof/>
              </w:rPr>
              <w:br/>
              <w:t>- verkeersbord F111</w:t>
            </w:r>
            <w:r>
              <w:rPr>
                <w:noProof/>
              </w:rPr>
              <w:br/>
              <w:t>- verkeersbord F113.</w:t>
            </w:r>
          </w:p>
          <w:p w14:paraId="17EABF32" w14:textId="77777777" w:rsidR="0041202F" w:rsidRDefault="00873F98" w:rsidP="0010034E">
            <w:pPr>
              <w:rPr>
                <w:noProof/>
              </w:rPr>
            </w:pPr>
            <w:r>
              <w:rPr>
                <w:noProof/>
                <w:u w:val="single"/>
              </w:rPr>
              <w:t>Artikel 4.</w:t>
            </w:r>
            <w:r>
              <w:rPr>
                <w:noProof/>
              </w:rPr>
              <w:t xml:space="preserve"> Op de Muilemlaan vanaf het kruispunt met de Rodestraat tot het kruispunt met de Dennestraat geldt: het stilstaan en parkeren is verboden. De maatregel geldt op schooldagen tijdens het begin en einde van de schooltijd. </w:t>
            </w:r>
            <w:r>
              <w:rPr>
                <w:noProof/>
              </w:rPr>
              <w:br/>
              <w:t>De begin- en eindtijden zijn:</w:t>
            </w:r>
            <w:r>
              <w:rPr>
                <w:noProof/>
              </w:rPr>
              <w:br/>
              <w:t>maandag tot vrijdag van 08.00u tot 09.00u en van 15.00u tot 16.00u</w:t>
            </w:r>
            <w:r>
              <w:rPr>
                <w:noProof/>
              </w:rPr>
              <w:br/>
              <w:t>woensdag van 11.00u tot 12.00u</w:t>
            </w:r>
            <w:r>
              <w:rPr>
                <w:noProof/>
              </w:rPr>
              <w:br/>
              <w:t>vrijdag van 14.30u tot 15.30u</w:t>
            </w:r>
            <w:r>
              <w:rPr>
                <w:noProof/>
              </w:rPr>
              <w:br/>
              <w:t>Het begin van de parkeerreglementering wordt aangeduid.</w:t>
            </w:r>
            <w:r>
              <w:rPr>
                <w:noProof/>
              </w:rPr>
              <w:br/>
              <w:t>Dit wordt aangeduid met de verkeerstekens:</w:t>
            </w:r>
            <w:r>
              <w:rPr>
                <w:noProof/>
              </w:rPr>
              <w:br/>
              <w:t>- verkeersbord E3</w:t>
            </w:r>
            <w:r>
              <w:rPr>
                <w:noProof/>
              </w:rPr>
              <w:br/>
              <w:t xml:space="preserve">- onderborden GV </w:t>
            </w:r>
            <w:r>
              <w:rPr>
                <w:noProof/>
              </w:rPr>
              <w:t>en GXa.</w:t>
            </w:r>
          </w:p>
          <w:p w14:paraId="23B5A87F" w14:textId="77777777" w:rsidR="0041202F" w:rsidRDefault="00873F98" w:rsidP="0010034E">
            <w:pPr>
              <w:rPr>
                <w:noProof/>
              </w:rPr>
            </w:pPr>
            <w:r>
              <w:rPr>
                <w:noProof/>
                <w:u w:val="single"/>
              </w:rPr>
              <w:t>Artikel 5.</w:t>
            </w:r>
            <w:r>
              <w:rPr>
                <w:noProof/>
              </w:rPr>
              <w:t xml:space="preserve"> Op alle wegen die uitkomen op de Muilemlaan uitgezonderd de Rodestraat, geldt: de bestuurders moeten stoppen en voorrang verlenen. </w:t>
            </w:r>
            <w:r>
              <w:rPr>
                <w:noProof/>
              </w:rPr>
              <w:br/>
              <w:t>De plaats waar de bestuurders moeten stoppen ingevolge het verkeersbord B5 wordt aangeduid.</w:t>
            </w:r>
            <w:r>
              <w:rPr>
                <w:noProof/>
              </w:rPr>
              <w:br/>
              <w:t>Dit wordt aangeduid door verkeerstekens:</w:t>
            </w:r>
            <w:r>
              <w:rPr>
                <w:noProof/>
              </w:rPr>
              <w:br/>
              <w:t>- verkeersbord B5</w:t>
            </w:r>
            <w:r>
              <w:rPr>
                <w:noProof/>
              </w:rPr>
              <w:br/>
              <w:t>- wegmarkeringen 76.1.</w:t>
            </w:r>
          </w:p>
          <w:p w14:paraId="0B0DE6FB" w14:textId="77777777" w:rsidR="0041202F" w:rsidRDefault="00873F98" w:rsidP="0010034E">
            <w:pPr>
              <w:rPr>
                <w:noProof/>
              </w:rPr>
            </w:pPr>
            <w:r>
              <w:rPr>
                <w:noProof/>
                <w:u w:val="single"/>
              </w:rPr>
              <w:t>Artikel 6.</w:t>
            </w:r>
            <w:r>
              <w:rPr>
                <w:noProof/>
              </w:rPr>
              <w:t> Op de Muilemlaan ter hoogte van de inrit parking verzorgingscentrum Carolus, ter hoogte van de Lostraat en ter hoogte van de Bosstraat geldt: de toegang is verboden in beide richtingen, voor iedere bestuurder; de maatregel geldt niet voor fietsers, bestuurders van tweewielige bromfietsen klasse A en speed pedelecs.</w:t>
            </w:r>
            <w:r>
              <w:rPr>
                <w:noProof/>
              </w:rPr>
              <w:br/>
              <w:t>De maatregel geldt niet voor plaatselijk verkeer.</w:t>
            </w:r>
            <w:r>
              <w:rPr>
                <w:noProof/>
              </w:rPr>
              <w:br/>
              <w:t>Dit wordt aangeduid door verkeerstekens:</w:t>
            </w:r>
            <w:r>
              <w:rPr>
                <w:noProof/>
              </w:rPr>
              <w:br/>
              <w:t>- verkeersborden C3</w:t>
            </w:r>
            <w:r>
              <w:rPr>
                <w:noProof/>
              </w:rPr>
              <w:br/>
              <w:t>- onderborden M12 en GIV.</w:t>
            </w:r>
          </w:p>
          <w:p w14:paraId="2F62F2AB" w14:textId="77777777" w:rsidR="0041202F" w:rsidRDefault="00873F98" w:rsidP="0010034E">
            <w:pPr>
              <w:rPr>
                <w:noProof/>
              </w:rPr>
            </w:pPr>
            <w:r>
              <w:rPr>
                <w:noProof/>
                <w:u w:val="single"/>
              </w:rPr>
              <w:t>Artikel 7.</w:t>
            </w:r>
            <w:r>
              <w:rPr>
                <w:noProof/>
              </w:rPr>
              <w:t xml:space="preserve"> Op de Muilemlaan ter hoogte van de Schoolstraat geldt: voetgangers moeten de oversteekplaats volgen om de rijbaan over te steken.</w:t>
            </w:r>
            <w:r>
              <w:rPr>
                <w:noProof/>
              </w:rPr>
              <w:br/>
              <w:t>Dit wordt aangeduid door de verkeerstekens:</w:t>
            </w:r>
            <w:r>
              <w:rPr>
                <w:noProof/>
              </w:rPr>
              <w:br/>
              <w:t>wegmarkeringen artikel 76.3.</w:t>
            </w:r>
          </w:p>
          <w:p w14:paraId="5569ED9C" w14:textId="77777777" w:rsidR="00143ECB" w:rsidRDefault="00143ECB" w:rsidP="0010034E">
            <w:pPr>
              <w:rPr>
                <w:noProof/>
              </w:rPr>
            </w:pPr>
          </w:p>
          <w:p w14:paraId="709088AC" w14:textId="77777777" w:rsidR="00143ECB" w:rsidRDefault="00143ECB" w:rsidP="0010034E">
            <w:pPr>
              <w:rPr>
                <w:noProof/>
              </w:rPr>
            </w:pPr>
          </w:p>
          <w:p w14:paraId="43F1D0CF" w14:textId="77777777" w:rsidR="00143ECB" w:rsidRDefault="00143ECB" w:rsidP="0010034E">
            <w:pPr>
              <w:rPr>
                <w:noProof/>
              </w:rPr>
            </w:pPr>
          </w:p>
          <w:p w14:paraId="0E6D4E53" w14:textId="77777777" w:rsidR="00143ECB" w:rsidRDefault="00143ECB" w:rsidP="0010034E">
            <w:pPr>
              <w:rPr>
                <w:noProof/>
              </w:rPr>
            </w:pPr>
          </w:p>
          <w:p w14:paraId="654E7944" w14:textId="77777777" w:rsidR="00143ECB" w:rsidRDefault="00143ECB" w:rsidP="0010034E">
            <w:pPr>
              <w:rPr>
                <w:noProof/>
              </w:rPr>
            </w:pPr>
          </w:p>
          <w:p w14:paraId="1F16875C" w14:textId="77777777" w:rsidR="00143ECB" w:rsidRDefault="00143ECB" w:rsidP="0010034E">
            <w:pPr>
              <w:rPr>
                <w:noProof/>
              </w:rPr>
            </w:pPr>
          </w:p>
          <w:p w14:paraId="0204488A" w14:textId="77777777" w:rsidR="0041202F" w:rsidRDefault="00873F98" w:rsidP="0010034E">
            <w:pPr>
              <w:rPr>
                <w:noProof/>
              </w:rPr>
            </w:pPr>
            <w:r>
              <w:rPr>
                <w:noProof/>
                <w:u w:val="single"/>
              </w:rPr>
              <w:t>Artikel 8.</w:t>
            </w:r>
            <w:r>
              <w:rPr>
                <w:noProof/>
              </w:rPr>
              <w:t xml:space="preserve"> Op het kruispunt van de Muilemlaan met de Lostraat geldt: de bestuurders zijn verplicht links af te slaan in de richting van de Rodestraat.  </w:t>
            </w:r>
            <w:r>
              <w:rPr>
                <w:noProof/>
              </w:rPr>
              <w:br/>
              <w:t>De maatregel geldt niet voor fietsers, bestuurders van tweewielige bromfietsen klasse A en speed pedelecs.</w:t>
            </w:r>
            <w:r>
              <w:rPr>
                <w:noProof/>
              </w:rPr>
              <w:br/>
              <w:t>Dit wordt aangeduid door verkeerstekens:</w:t>
            </w:r>
            <w:r>
              <w:rPr>
                <w:noProof/>
              </w:rPr>
              <w:br/>
              <w:t>- verkeersbord D1</w:t>
            </w:r>
            <w:r>
              <w:rPr>
                <w:noProof/>
              </w:rPr>
              <w:br/>
              <w:t>- onderbord M12.</w:t>
            </w:r>
          </w:p>
          <w:p w14:paraId="29BA814D" w14:textId="77777777" w:rsidR="0057396B" w:rsidRDefault="0057396B" w:rsidP="0010034E">
            <w:pPr>
              <w:rPr>
                <w:noProof/>
              </w:rPr>
            </w:pPr>
          </w:p>
          <w:p w14:paraId="795F955E" w14:textId="77777777" w:rsidR="0041202F" w:rsidRDefault="00873F98" w:rsidP="0010034E">
            <w:pPr>
              <w:rPr>
                <w:noProof/>
              </w:rPr>
            </w:pPr>
            <w:r>
              <w:rPr>
                <w:noProof/>
                <w:u w:val="single"/>
              </w:rPr>
              <w:t>Artikel 9.</w:t>
            </w:r>
            <w:r>
              <w:rPr>
                <w:noProof/>
              </w:rPr>
              <w:t> Bepalingen in voorgaande reglementen en verordeningen die tegenstrijdig zijn met bovenstaande, worden opgeheven. </w:t>
            </w:r>
          </w:p>
          <w:p w14:paraId="5ECF81F2" w14:textId="77777777" w:rsidR="0057396B" w:rsidRDefault="0057396B" w:rsidP="0010034E">
            <w:pPr>
              <w:rPr>
                <w:noProof/>
              </w:rPr>
            </w:pPr>
          </w:p>
          <w:p w14:paraId="62F2430A" w14:textId="77777777" w:rsidR="0041202F" w:rsidRDefault="00873F98" w:rsidP="0010034E">
            <w:pPr>
              <w:rPr>
                <w:noProof/>
              </w:rPr>
            </w:pPr>
            <w:r w:rsidRPr="0057396B">
              <w:rPr>
                <w:noProof/>
                <w:u w:val="single"/>
              </w:rPr>
              <w:t>Artikel 10.</w:t>
            </w:r>
            <w:r>
              <w:rPr>
                <w:noProof/>
              </w:rPr>
              <w:t> Een afschrift van dit besluit wordt overgemaakt aan de dienst Mobiliteit.</w:t>
            </w:r>
          </w:p>
        </w:tc>
      </w:tr>
    </w:tbl>
    <w:p w14:paraId="2D24D063" w14:textId="4E485EDD" w:rsidR="00130698" w:rsidRDefault="00130698" w:rsidP="000C1025"/>
    <w:p w14:paraId="496C2DA2" w14:textId="77777777" w:rsidR="00ED262F" w:rsidRDefault="00ED262F" w:rsidP="000C1025"/>
    <w:p w14:paraId="2D24D064" w14:textId="77777777" w:rsidR="00130698" w:rsidRDefault="00130698" w:rsidP="000C1025"/>
    <w:p w14:paraId="2D24D065" w14:textId="77777777" w:rsidR="0096666E" w:rsidRDefault="00873F98"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5C59DB" w14:paraId="2D24D06C" w14:textId="77777777" w:rsidTr="00020EEF">
        <w:trPr>
          <w:trHeight w:val="603"/>
        </w:trPr>
        <w:tc>
          <w:tcPr>
            <w:tcW w:w="4253" w:type="dxa"/>
          </w:tcPr>
          <w:p w14:paraId="2D24D067" w14:textId="4966EDC8" w:rsidR="006801DE" w:rsidRPr="004B451F" w:rsidRDefault="00873F98" w:rsidP="00BA2B2C">
            <w:pPr>
              <w:ind w:right="379"/>
            </w:pPr>
            <w:r>
              <w:rPr>
                <w:noProof/>
              </w:rPr>
              <w:t>algemeen directeur</w:t>
            </w:r>
            <w:r w:rsidRPr="004B451F">
              <w:t>,</w:t>
            </w:r>
          </w:p>
          <w:p w14:paraId="2D24D069" w14:textId="0E7ACB88" w:rsidR="006801DE" w:rsidRPr="002E08DB" w:rsidRDefault="00873F98" w:rsidP="00DD0895">
            <w:r>
              <w:t xml:space="preserve">(get.) </w:t>
            </w:r>
            <w:r w:rsidR="0041202F">
              <w:rPr>
                <w:noProof/>
              </w:rPr>
              <w:t>Sieglinde De Mulder</w:t>
            </w:r>
          </w:p>
        </w:tc>
        <w:tc>
          <w:tcPr>
            <w:tcW w:w="5211" w:type="dxa"/>
          </w:tcPr>
          <w:p w14:paraId="2D24D06A" w14:textId="1FB48EF6" w:rsidR="006801DE" w:rsidRPr="00166C98" w:rsidRDefault="00873F98" w:rsidP="00247289">
            <w:pPr>
              <w:jc w:val="right"/>
              <w:rPr>
                <w:rFonts w:eastAsia="Calibri"/>
              </w:rPr>
            </w:pPr>
            <w:r w:rsidRPr="00166C98">
              <w:rPr>
                <w:rFonts w:eastAsia="Calibri"/>
                <w:noProof/>
              </w:rPr>
              <w:t>voorzitter gemeenteraad (wnd.)</w:t>
            </w:r>
            <w:r w:rsidRPr="00166C98">
              <w:rPr>
                <w:rFonts w:eastAsia="Calibri"/>
              </w:rPr>
              <w:t>,</w:t>
            </w:r>
          </w:p>
          <w:p w14:paraId="2D24D06B" w14:textId="41DE29A3" w:rsidR="006801DE" w:rsidRPr="002E08DB" w:rsidRDefault="00873F98" w:rsidP="00247289">
            <w:pPr>
              <w:jc w:val="right"/>
            </w:pPr>
            <w:r w:rsidRPr="00166C98">
              <w:rPr>
                <w:rFonts w:eastAsia="Calibri"/>
              </w:rPr>
              <w:t xml:space="preserve">(get.) </w:t>
            </w:r>
            <w:r w:rsidRPr="00166C98">
              <w:rPr>
                <w:rFonts w:eastAsia="Calibri"/>
                <w:noProof/>
              </w:rPr>
              <w:t>Kristof De Leeuw</w:t>
            </w:r>
          </w:p>
        </w:tc>
      </w:tr>
    </w:tbl>
    <w:p w14:paraId="2D24D06E" w14:textId="49BC8815" w:rsidR="0096666E" w:rsidRDefault="00873F98" w:rsidP="0096666E">
      <w:pPr>
        <w:jc w:val="center"/>
        <w:rPr>
          <w:color w:val="000000"/>
          <w:szCs w:val="22"/>
        </w:rPr>
      </w:pPr>
      <w:r>
        <w:rPr>
          <w:color w:val="000000"/>
          <w:szCs w:val="22"/>
        </w:rPr>
        <w:t>V</w:t>
      </w:r>
      <w:r w:rsidRPr="00871CA3">
        <w:rPr>
          <w:color w:val="000000"/>
          <w:szCs w:val="22"/>
        </w:rPr>
        <w:t>oor eensluidend afschrift,</w:t>
      </w:r>
    </w:p>
    <w:p w14:paraId="2D24D06F" w14:textId="20B0059D" w:rsidR="0096666E" w:rsidRPr="00871CA3" w:rsidRDefault="00873F98"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143ECB">
        <w:rPr>
          <w:noProof/>
        </w:rPr>
        <w:t>28 oktober 2024</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984"/>
        <w:gridCol w:w="3691"/>
      </w:tblGrid>
      <w:tr w:rsidR="005C59DB" w14:paraId="2813C708" w14:textId="77777777" w:rsidTr="009135E6">
        <w:trPr>
          <w:trHeight w:val="1479"/>
        </w:trPr>
        <w:tc>
          <w:tcPr>
            <w:tcW w:w="3823" w:type="dxa"/>
          </w:tcPr>
          <w:p w14:paraId="78FE65EA" w14:textId="26D23394" w:rsidR="009135E6" w:rsidRPr="004B451F" w:rsidRDefault="00143ECB" w:rsidP="000B5C81">
            <w:r>
              <w:rPr>
                <w:noProof/>
              </w:rPr>
              <w:t>algemeen directeur</w:t>
            </w:r>
            <w:r>
              <w:rPr>
                <w:noProof/>
              </w:rPr>
              <w:t xml:space="preserve"> (plv.)</w:t>
            </w:r>
          </w:p>
          <w:p w14:paraId="5298AE94" w14:textId="191072C7" w:rsidR="009135E6" w:rsidRDefault="00143ECB" w:rsidP="000B5C81">
            <w:pPr>
              <w:rPr>
                <w:rFonts w:eastAsia="Calibri"/>
              </w:rPr>
            </w:pPr>
            <w:r>
              <w:rPr>
                <w:rFonts w:eastAsia="Calibri"/>
              </w:rPr>
              <w:t>Bjorn Stylemans</w:t>
            </w:r>
          </w:p>
          <w:p w14:paraId="466E453F" w14:textId="77777777" w:rsidR="009135E6" w:rsidRPr="00166C98" w:rsidRDefault="009135E6" w:rsidP="000B5C81">
            <w:pPr>
              <w:rPr>
                <w:rFonts w:eastAsia="Calibri"/>
              </w:rPr>
            </w:pPr>
          </w:p>
        </w:tc>
        <w:tc>
          <w:tcPr>
            <w:tcW w:w="1984" w:type="dxa"/>
          </w:tcPr>
          <w:p w14:paraId="0F6367CB" w14:textId="77777777" w:rsidR="009135E6" w:rsidRPr="00166C98" w:rsidRDefault="00873F98" w:rsidP="000B5C81">
            <w:pPr>
              <w:jc w:val="center"/>
              <w:rPr>
                <w:rFonts w:eastAsia="Calibri"/>
              </w:rPr>
            </w:pPr>
            <w:r w:rsidRPr="005B3F4B">
              <w:rPr>
                <w:rFonts w:eastAsia="Calibri"/>
                <w:noProof/>
              </w:rPr>
              <mc:AlternateContent>
                <mc:Choice Requires="wps">
                  <w:drawing>
                    <wp:anchor distT="45720" distB="45720" distL="114300" distR="114300" simplePos="0" relativeHeight="251659264" behindDoc="0" locked="0" layoutInCell="1" allowOverlap="1" wp14:anchorId="1857FBCE" wp14:editId="0263CFED">
                      <wp:simplePos x="0" y="0"/>
                      <wp:positionH relativeFrom="column">
                        <wp:posOffset>-65405</wp:posOffset>
                      </wp:positionH>
                      <wp:positionV relativeFrom="paragraph">
                        <wp:posOffset>1270</wp:posOffset>
                      </wp:positionV>
                      <wp:extent cx="1016635" cy="935355"/>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935355"/>
                              </a:xfrm>
                              <a:prstGeom prst="rect">
                                <a:avLst/>
                              </a:prstGeom>
                              <a:solidFill>
                                <a:srgbClr val="FFFFFF"/>
                              </a:solidFill>
                              <a:ln w="9525">
                                <a:noFill/>
                                <a:miter lim="800000"/>
                                <a:headEnd/>
                                <a:tailEnd/>
                              </a:ln>
                            </wps:spPr>
                            <wps:txbx>
                              <w:txbxContent>
                                <w:p w14:paraId="632037FD" w14:textId="77777777" w:rsidR="009135E6" w:rsidRDefault="00873F98" w:rsidP="009135E6">
                                  <w:r w:rsidRPr="005B3F4B">
                                    <w:rPr>
                                      <w:rFonts w:eastAsia="Calibri"/>
                                      <w:noProof/>
                                    </w:rPr>
                                    <w:drawing>
                                      <wp:inline distT="0" distB="0" distL="0" distR="0" wp14:anchorId="6E629F41" wp14:editId="5884756D">
                                        <wp:extent cx="911860" cy="887395"/>
                                        <wp:effectExtent l="0" t="0" r="2540" b="8255"/>
                                        <wp:docPr id="108726064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60641" name="Picture 1"/>
                                                <pic:cNvPicPr>
                                                  <a:picLocks noChangeAspect="1" noChangeArrowheads="1"/>
                                                </pic:cNvPicPr>
                                              </pic:nvPicPr>
                                              <pic:blipFill>
                                                <a:blip r:embed="rId8">
                                                  <a:alphaModFix/>
                                                  <a:lum bright="-20000" contrast="40000"/>
                                                  <a:extLst>
                                                    <a:ext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width:80.05pt;height:73.65pt;margin-top:0.1pt;margin-left:-5.15pt;mso-height-percent:0;mso-height-relative:margin;mso-width-percent:0;mso-width-relative:margin;mso-wrap-distance-bottom:3.6pt;mso-wrap-distance-left:9pt;mso-wrap-distance-right:9pt;mso-wrap-distance-top:3.6pt;mso-wrap-style:square;position:absolute;visibility:visible;v-text-anchor:top;z-index:251660288" stroked="f">
                      <v:textbox>
                        <w:txbxContent>
                          <w:p w:rsidR="009135E6" w:rsidP="009135E6" w14:paraId="24E82A02" w14:textId="77777777">
                            <w:drawing>
                              <wp:inline distT="0" distB="0" distL="0" distR="0">
                                <wp:extent cx="911860" cy="887395"/>
                                <wp:effectExtent l="0" t="0" r="2540" b="825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9">
                                          <a:alphaModFix amt="100000"/>
                                          <a:lum bright="-20000" contrast="40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2128" cy="897387"/>
                                        </a:xfrm>
                                        <a:prstGeom prst="rect">
                                          <a:avLst/>
                                        </a:prstGeom>
                                        <a:noFill/>
                                        <a:ln>
                                          <a:noFill/>
                                        </a:ln>
                                      </pic:spPr>
                                    </pic:pic>
                                  </a:graphicData>
                                </a:graphic>
                              </wp:inline>
                            </w:drawing>
                          </w:p>
                        </w:txbxContent>
                      </v:textbox>
                      <w10:wrap type="square"/>
                    </v:shape>
                  </w:pict>
                </mc:Fallback>
              </mc:AlternateContent>
            </w:r>
          </w:p>
        </w:tc>
        <w:tc>
          <w:tcPr>
            <w:tcW w:w="3691" w:type="dxa"/>
          </w:tcPr>
          <w:p w14:paraId="6E97A844" w14:textId="4B1F3888" w:rsidR="00143ECB" w:rsidRPr="00166C98" w:rsidRDefault="00143ECB" w:rsidP="00143ECB">
            <w:pPr>
              <w:jc w:val="right"/>
              <w:rPr>
                <w:rFonts w:eastAsia="Calibri"/>
              </w:rPr>
            </w:pPr>
            <w:r w:rsidRPr="00166C98">
              <w:rPr>
                <w:rFonts w:eastAsia="Calibri"/>
                <w:noProof/>
              </w:rPr>
              <w:t>voorzitter gemeenteraad (wnd.)</w:t>
            </w:r>
          </w:p>
          <w:p w14:paraId="319E7C50" w14:textId="4585DAE6" w:rsidR="009135E6" w:rsidRPr="00166C98" w:rsidRDefault="00143ECB" w:rsidP="000B5C81">
            <w:pPr>
              <w:jc w:val="right"/>
              <w:rPr>
                <w:rFonts w:eastAsia="Calibri"/>
              </w:rPr>
            </w:pPr>
            <w:r w:rsidRPr="00166C98">
              <w:rPr>
                <w:rFonts w:eastAsia="Calibri"/>
                <w:noProof/>
              </w:rPr>
              <w:t>Kristof De Leeuw</w:t>
            </w:r>
          </w:p>
        </w:tc>
      </w:tr>
    </w:tbl>
    <w:p w14:paraId="19C739B4" w14:textId="77777777" w:rsidR="009135E6" w:rsidRDefault="009135E6" w:rsidP="009135E6"/>
    <w:p w14:paraId="2D24D078" w14:textId="77777777" w:rsidR="00E127FB" w:rsidRDefault="00E127FB" w:rsidP="00A4645E"/>
    <w:p w14:paraId="2D24D079" w14:textId="77777777" w:rsidR="00E127FB" w:rsidRDefault="00E127FB" w:rsidP="00A4645E"/>
    <w:p w14:paraId="2D24D07A" w14:textId="77777777" w:rsidR="00E127FB" w:rsidRDefault="00E127FB" w:rsidP="00A4645E"/>
    <w:p w14:paraId="2D24D07B" w14:textId="77777777" w:rsidR="00E127FB" w:rsidRDefault="00E127FB" w:rsidP="00A4645E"/>
    <w:sectPr w:rsidR="00E127FB" w:rsidSect="003B16B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8A4B2" w14:textId="77777777" w:rsidR="00873F98" w:rsidRDefault="00873F98">
      <w:pPr>
        <w:spacing w:after="0"/>
      </w:pPr>
      <w:r>
        <w:separator/>
      </w:r>
    </w:p>
  </w:endnote>
  <w:endnote w:type="continuationSeparator" w:id="0">
    <w:p w14:paraId="65C73B03" w14:textId="77777777" w:rsidR="00873F98" w:rsidRDefault="00873F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8" w14:textId="77777777" w:rsidR="003B16BD" w:rsidRDefault="003B16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9" w14:textId="77777777" w:rsidR="00D7313B" w:rsidRDefault="00D7313B">
    <w:pPr>
      <w:pStyle w:val="Voettekst"/>
      <w:jc w:val="right"/>
    </w:pPr>
  </w:p>
  <w:p w14:paraId="2D24D08A" w14:textId="77777777" w:rsidR="00D7313B" w:rsidRDefault="00D731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873F98">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935FF" w14:textId="77777777" w:rsidR="00873F98" w:rsidRDefault="00873F98">
      <w:pPr>
        <w:spacing w:after="0"/>
      </w:pPr>
      <w:r>
        <w:separator/>
      </w:r>
    </w:p>
  </w:footnote>
  <w:footnote w:type="continuationSeparator" w:id="0">
    <w:p w14:paraId="58771C7E" w14:textId="77777777" w:rsidR="00873F98" w:rsidRDefault="00873F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3" w14:textId="77777777" w:rsidR="003B16BD" w:rsidRDefault="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4" w14:textId="42C24CC5" w:rsidR="003B16BD" w:rsidRDefault="00873F98" w:rsidP="003F2F4E">
    <w:pPr>
      <w:pStyle w:val="Koptekst"/>
      <w:jc w:val="right"/>
    </w:pPr>
    <w:r>
      <w:rPr>
        <w:noProof/>
        <w:lang w:eastAsia="nl-BE"/>
      </w:rPr>
      <w:drawing>
        <wp:anchor distT="0" distB="0" distL="114300" distR="114300" simplePos="0" relativeHeight="251658240" behindDoc="0" locked="0" layoutInCell="1" allowOverlap="1" wp14:anchorId="4A2C7284" wp14:editId="26320D5F">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873F98" w:rsidP="003F2F4E">
    <w:pPr>
      <w:pStyle w:val="Koptekst"/>
      <w:jc w:val="right"/>
    </w:pPr>
    <w:r>
      <w:t xml:space="preserve">Provincie </w:t>
    </w:r>
    <w:r>
      <w:t>Vlaams-Brabant</w:t>
    </w:r>
  </w:p>
  <w:p w14:paraId="2D24D086" w14:textId="77777777" w:rsidR="003B16BD" w:rsidRDefault="00873F98" w:rsidP="003F2F4E">
    <w:pPr>
      <w:pStyle w:val="Koptekst"/>
      <w:jc w:val="right"/>
    </w:pPr>
    <w:r>
      <w:t>Gemeente TERNAT</w:t>
    </w:r>
  </w:p>
  <w:p w14:paraId="2D24D087" w14:textId="77777777" w:rsidR="00D7313B" w:rsidRPr="003B16BD" w:rsidRDefault="00D7313B" w:rsidP="003B16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4D08B" w14:textId="77777777" w:rsidR="00D7313B" w:rsidRDefault="00873F98" w:rsidP="00D7313B">
    <w:pPr>
      <w:pStyle w:val="Koptekst"/>
    </w:pPr>
    <w:r>
      <w:rPr>
        <w:noProof/>
        <w:lang w:eastAsia="nl-BE"/>
      </w:rPr>
      <w:drawing>
        <wp:anchor distT="0" distB="0" distL="114300" distR="114300" simplePos="0" relativeHeight="251659264" behindDoc="0" locked="0" layoutInCell="1" allowOverlap="1" wp14:anchorId="6937B0B4" wp14:editId="1882D644">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873F98" w:rsidP="003B16BD">
    <w:pPr>
      <w:pStyle w:val="Koptekst"/>
      <w:jc w:val="right"/>
    </w:pPr>
    <w:r>
      <w:t>Provincie Vlaams-Brabant</w:t>
    </w:r>
  </w:p>
  <w:p w14:paraId="2D24D08D" w14:textId="77777777" w:rsidR="00D7313B" w:rsidRDefault="00873F98"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5427F0B"/>
    <w:multiLevelType w:val="hybridMultilevel"/>
    <w:tmpl w:val="024EC436"/>
    <w:lvl w:ilvl="0" w:tplc="34F4F60C">
      <w:start w:val="1"/>
      <w:numFmt w:val="decimal"/>
      <w:lvlText w:val="%1."/>
      <w:lvlJc w:val="left"/>
      <w:pPr>
        <w:ind w:left="720" w:hanging="360"/>
      </w:pPr>
    </w:lvl>
    <w:lvl w:ilvl="1" w:tplc="DB7EFB5C" w:tentative="1">
      <w:start w:val="1"/>
      <w:numFmt w:val="lowerLetter"/>
      <w:lvlText w:val="%2."/>
      <w:lvlJc w:val="left"/>
      <w:pPr>
        <w:ind w:left="1440" w:hanging="360"/>
      </w:pPr>
    </w:lvl>
    <w:lvl w:ilvl="2" w:tplc="7A58F126" w:tentative="1">
      <w:start w:val="1"/>
      <w:numFmt w:val="lowerRoman"/>
      <w:lvlText w:val="%3."/>
      <w:lvlJc w:val="right"/>
      <w:pPr>
        <w:ind w:left="2160" w:hanging="180"/>
      </w:pPr>
    </w:lvl>
    <w:lvl w:ilvl="3" w:tplc="FE92B4EA" w:tentative="1">
      <w:start w:val="1"/>
      <w:numFmt w:val="decimal"/>
      <w:lvlText w:val="%4."/>
      <w:lvlJc w:val="left"/>
      <w:pPr>
        <w:ind w:left="2880" w:hanging="360"/>
      </w:pPr>
    </w:lvl>
    <w:lvl w:ilvl="4" w:tplc="0AFE06F8" w:tentative="1">
      <w:start w:val="1"/>
      <w:numFmt w:val="lowerLetter"/>
      <w:lvlText w:val="%5."/>
      <w:lvlJc w:val="left"/>
      <w:pPr>
        <w:ind w:left="3600" w:hanging="360"/>
      </w:pPr>
    </w:lvl>
    <w:lvl w:ilvl="5" w:tplc="CA580C20" w:tentative="1">
      <w:start w:val="1"/>
      <w:numFmt w:val="lowerRoman"/>
      <w:lvlText w:val="%6."/>
      <w:lvlJc w:val="right"/>
      <w:pPr>
        <w:ind w:left="4320" w:hanging="180"/>
      </w:pPr>
    </w:lvl>
    <w:lvl w:ilvl="6" w:tplc="7BF28238" w:tentative="1">
      <w:start w:val="1"/>
      <w:numFmt w:val="decimal"/>
      <w:lvlText w:val="%7."/>
      <w:lvlJc w:val="left"/>
      <w:pPr>
        <w:ind w:left="5040" w:hanging="360"/>
      </w:pPr>
    </w:lvl>
    <w:lvl w:ilvl="7" w:tplc="1DCED190" w:tentative="1">
      <w:start w:val="1"/>
      <w:numFmt w:val="lowerLetter"/>
      <w:lvlText w:val="%8."/>
      <w:lvlJc w:val="left"/>
      <w:pPr>
        <w:ind w:left="5760" w:hanging="360"/>
      </w:pPr>
    </w:lvl>
    <w:lvl w:ilvl="8" w:tplc="3294A7F6"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029A43E2">
      <w:start w:val="1"/>
      <w:numFmt w:val="bullet"/>
      <w:lvlText w:val=""/>
      <w:lvlJc w:val="left"/>
      <w:pPr>
        <w:ind w:left="720" w:hanging="360"/>
      </w:pPr>
      <w:rPr>
        <w:rFonts w:ascii="Symbol" w:hAnsi="Symbol" w:hint="default"/>
      </w:rPr>
    </w:lvl>
    <w:lvl w:ilvl="1" w:tplc="9188AF5C">
      <w:start w:val="1"/>
      <w:numFmt w:val="bullet"/>
      <w:lvlText w:val="o"/>
      <w:lvlJc w:val="left"/>
      <w:pPr>
        <w:ind w:left="1440" w:hanging="360"/>
      </w:pPr>
      <w:rPr>
        <w:rFonts w:ascii="Courier New" w:hAnsi="Courier New" w:cs="Courier New" w:hint="default"/>
      </w:rPr>
    </w:lvl>
    <w:lvl w:ilvl="2" w:tplc="D742A3A4" w:tentative="1">
      <w:start w:val="1"/>
      <w:numFmt w:val="bullet"/>
      <w:lvlText w:val=""/>
      <w:lvlJc w:val="left"/>
      <w:pPr>
        <w:ind w:left="2160" w:hanging="360"/>
      </w:pPr>
      <w:rPr>
        <w:rFonts w:ascii="Wingdings" w:hAnsi="Wingdings" w:hint="default"/>
      </w:rPr>
    </w:lvl>
    <w:lvl w:ilvl="3" w:tplc="6F72CB70" w:tentative="1">
      <w:start w:val="1"/>
      <w:numFmt w:val="bullet"/>
      <w:lvlText w:val=""/>
      <w:lvlJc w:val="left"/>
      <w:pPr>
        <w:ind w:left="2880" w:hanging="360"/>
      </w:pPr>
      <w:rPr>
        <w:rFonts w:ascii="Symbol" w:hAnsi="Symbol" w:hint="default"/>
      </w:rPr>
    </w:lvl>
    <w:lvl w:ilvl="4" w:tplc="3F7C0252" w:tentative="1">
      <w:start w:val="1"/>
      <w:numFmt w:val="bullet"/>
      <w:lvlText w:val="o"/>
      <w:lvlJc w:val="left"/>
      <w:pPr>
        <w:ind w:left="3600" w:hanging="360"/>
      </w:pPr>
      <w:rPr>
        <w:rFonts w:ascii="Courier New" w:hAnsi="Courier New" w:cs="Courier New" w:hint="default"/>
      </w:rPr>
    </w:lvl>
    <w:lvl w:ilvl="5" w:tplc="5E08B94C" w:tentative="1">
      <w:start w:val="1"/>
      <w:numFmt w:val="bullet"/>
      <w:lvlText w:val=""/>
      <w:lvlJc w:val="left"/>
      <w:pPr>
        <w:ind w:left="4320" w:hanging="360"/>
      </w:pPr>
      <w:rPr>
        <w:rFonts w:ascii="Wingdings" w:hAnsi="Wingdings" w:hint="default"/>
      </w:rPr>
    </w:lvl>
    <w:lvl w:ilvl="6" w:tplc="18247EC6" w:tentative="1">
      <w:start w:val="1"/>
      <w:numFmt w:val="bullet"/>
      <w:lvlText w:val=""/>
      <w:lvlJc w:val="left"/>
      <w:pPr>
        <w:ind w:left="5040" w:hanging="360"/>
      </w:pPr>
      <w:rPr>
        <w:rFonts w:ascii="Symbol" w:hAnsi="Symbol" w:hint="default"/>
      </w:rPr>
    </w:lvl>
    <w:lvl w:ilvl="7" w:tplc="E688ADE6" w:tentative="1">
      <w:start w:val="1"/>
      <w:numFmt w:val="bullet"/>
      <w:lvlText w:val="o"/>
      <w:lvlJc w:val="left"/>
      <w:pPr>
        <w:ind w:left="5760" w:hanging="360"/>
      </w:pPr>
      <w:rPr>
        <w:rFonts w:ascii="Courier New" w:hAnsi="Courier New" w:cs="Courier New" w:hint="default"/>
      </w:rPr>
    </w:lvl>
    <w:lvl w:ilvl="8" w:tplc="ECD8B172"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BCF6D390">
      <w:start w:val="1"/>
      <w:numFmt w:val="decimal"/>
      <w:lvlText w:val="%1."/>
      <w:lvlJc w:val="left"/>
      <w:pPr>
        <w:ind w:left="720" w:hanging="360"/>
      </w:pPr>
    </w:lvl>
    <w:lvl w:ilvl="1" w:tplc="F2809EA8" w:tentative="1">
      <w:start w:val="1"/>
      <w:numFmt w:val="lowerLetter"/>
      <w:lvlText w:val="%2."/>
      <w:lvlJc w:val="left"/>
      <w:pPr>
        <w:ind w:left="1440" w:hanging="360"/>
      </w:pPr>
    </w:lvl>
    <w:lvl w:ilvl="2" w:tplc="115AE6A2" w:tentative="1">
      <w:start w:val="1"/>
      <w:numFmt w:val="lowerRoman"/>
      <w:lvlText w:val="%3."/>
      <w:lvlJc w:val="right"/>
      <w:pPr>
        <w:ind w:left="2160" w:hanging="180"/>
      </w:pPr>
    </w:lvl>
    <w:lvl w:ilvl="3" w:tplc="9982A8E8" w:tentative="1">
      <w:start w:val="1"/>
      <w:numFmt w:val="decimal"/>
      <w:lvlText w:val="%4."/>
      <w:lvlJc w:val="left"/>
      <w:pPr>
        <w:ind w:left="2880" w:hanging="360"/>
      </w:pPr>
    </w:lvl>
    <w:lvl w:ilvl="4" w:tplc="6E788D26" w:tentative="1">
      <w:start w:val="1"/>
      <w:numFmt w:val="lowerLetter"/>
      <w:lvlText w:val="%5."/>
      <w:lvlJc w:val="left"/>
      <w:pPr>
        <w:ind w:left="3600" w:hanging="360"/>
      </w:pPr>
    </w:lvl>
    <w:lvl w:ilvl="5" w:tplc="4BE60914" w:tentative="1">
      <w:start w:val="1"/>
      <w:numFmt w:val="lowerRoman"/>
      <w:lvlText w:val="%6."/>
      <w:lvlJc w:val="right"/>
      <w:pPr>
        <w:ind w:left="4320" w:hanging="180"/>
      </w:pPr>
    </w:lvl>
    <w:lvl w:ilvl="6" w:tplc="C2F491FA" w:tentative="1">
      <w:start w:val="1"/>
      <w:numFmt w:val="decimal"/>
      <w:lvlText w:val="%7."/>
      <w:lvlJc w:val="left"/>
      <w:pPr>
        <w:ind w:left="5040" w:hanging="360"/>
      </w:pPr>
    </w:lvl>
    <w:lvl w:ilvl="7" w:tplc="C83AEDB0" w:tentative="1">
      <w:start w:val="1"/>
      <w:numFmt w:val="lowerLetter"/>
      <w:lvlText w:val="%8."/>
      <w:lvlJc w:val="left"/>
      <w:pPr>
        <w:ind w:left="5760" w:hanging="360"/>
      </w:pPr>
    </w:lvl>
    <w:lvl w:ilvl="8" w:tplc="37E01E0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D00258FE">
      <w:start w:val="1"/>
      <w:numFmt w:val="decimal"/>
      <w:lvlText w:val="%1."/>
      <w:lvlJc w:val="left"/>
      <w:pPr>
        <w:ind w:left="360" w:hanging="360"/>
      </w:pPr>
      <w:rPr>
        <w:rFonts w:hint="default"/>
      </w:rPr>
    </w:lvl>
    <w:lvl w:ilvl="1" w:tplc="83388018" w:tentative="1">
      <w:start w:val="1"/>
      <w:numFmt w:val="lowerLetter"/>
      <w:lvlText w:val="%2."/>
      <w:lvlJc w:val="left"/>
      <w:pPr>
        <w:ind w:left="1080" w:hanging="360"/>
      </w:pPr>
    </w:lvl>
    <w:lvl w:ilvl="2" w:tplc="7E9A4ECE" w:tentative="1">
      <w:start w:val="1"/>
      <w:numFmt w:val="lowerRoman"/>
      <w:lvlText w:val="%3."/>
      <w:lvlJc w:val="right"/>
      <w:pPr>
        <w:ind w:left="1800" w:hanging="180"/>
      </w:pPr>
    </w:lvl>
    <w:lvl w:ilvl="3" w:tplc="B8B23312" w:tentative="1">
      <w:start w:val="1"/>
      <w:numFmt w:val="decimal"/>
      <w:lvlText w:val="%4."/>
      <w:lvlJc w:val="left"/>
      <w:pPr>
        <w:ind w:left="2520" w:hanging="360"/>
      </w:pPr>
    </w:lvl>
    <w:lvl w:ilvl="4" w:tplc="AEF0AD16" w:tentative="1">
      <w:start w:val="1"/>
      <w:numFmt w:val="lowerLetter"/>
      <w:lvlText w:val="%5."/>
      <w:lvlJc w:val="left"/>
      <w:pPr>
        <w:ind w:left="3240" w:hanging="360"/>
      </w:pPr>
    </w:lvl>
    <w:lvl w:ilvl="5" w:tplc="C9741094" w:tentative="1">
      <w:start w:val="1"/>
      <w:numFmt w:val="lowerRoman"/>
      <w:lvlText w:val="%6."/>
      <w:lvlJc w:val="right"/>
      <w:pPr>
        <w:ind w:left="3960" w:hanging="180"/>
      </w:pPr>
    </w:lvl>
    <w:lvl w:ilvl="6" w:tplc="75B8A136" w:tentative="1">
      <w:start w:val="1"/>
      <w:numFmt w:val="decimal"/>
      <w:lvlText w:val="%7."/>
      <w:lvlJc w:val="left"/>
      <w:pPr>
        <w:ind w:left="4680" w:hanging="360"/>
      </w:pPr>
    </w:lvl>
    <w:lvl w:ilvl="7" w:tplc="297A9C12" w:tentative="1">
      <w:start w:val="1"/>
      <w:numFmt w:val="lowerLetter"/>
      <w:lvlText w:val="%8."/>
      <w:lvlJc w:val="left"/>
      <w:pPr>
        <w:ind w:left="5400" w:hanging="360"/>
      </w:pPr>
    </w:lvl>
    <w:lvl w:ilvl="8" w:tplc="070C9E80"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917E08DC">
      <w:start w:val="1"/>
      <w:numFmt w:val="bullet"/>
      <w:lvlText w:val=""/>
      <w:lvlJc w:val="left"/>
      <w:pPr>
        <w:ind w:left="720" w:hanging="360"/>
      </w:pPr>
      <w:rPr>
        <w:rFonts w:ascii="Symbol" w:hAnsi="Symbol"/>
      </w:rPr>
    </w:lvl>
    <w:lvl w:ilvl="1" w:tplc="199A75C2">
      <w:start w:val="1"/>
      <w:numFmt w:val="bullet"/>
      <w:lvlText w:val="o"/>
      <w:lvlJc w:val="left"/>
      <w:pPr>
        <w:tabs>
          <w:tab w:val="num" w:pos="1440"/>
        </w:tabs>
        <w:ind w:left="1440" w:hanging="360"/>
      </w:pPr>
      <w:rPr>
        <w:rFonts w:ascii="Courier New" w:hAnsi="Courier New"/>
      </w:rPr>
    </w:lvl>
    <w:lvl w:ilvl="2" w:tplc="1DAA55D8">
      <w:start w:val="1"/>
      <w:numFmt w:val="bullet"/>
      <w:lvlText w:val=""/>
      <w:lvlJc w:val="left"/>
      <w:pPr>
        <w:tabs>
          <w:tab w:val="num" w:pos="2160"/>
        </w:tabs>
        <w:ind w:left="2160" w:hanging="360"/>
      </w:pPr>
      <w:rPr>
        <w:rFonts w:ascii="Wingdings" w:hAnsi="Wingdings"/>
      </w:rPr>
    </w:lvl>
    <w:lvl w:ilvl="3" w:tplc="DB12FECC">
      <w:start w:val="1"/>
      <w:numFmt w:val="bullet"/>
      <w:lvlText w:val=""/>
      <w:lvlJc w:val="left"/>
      <w:pPr>
        <w:tabs>
          <w:tab w:val="num" w:pos="2880"/>
        </w:tabs>
        <w:ind w:left="2880" w:hanging="360"/>
      </w:pPr>
      <w:rPr>
        <w:rFonts w:ascii="Symbol" w:hAnsi="Symbol"/>
      </w:rPr>
    </w:lvl>
    <w:lvl w:ilvl="4" w:tplc="7CC63D38">
      <w:start w:val="1"/>
      <w:numFmt w:val="bullet"/>
      <w:lvlText w:val="o"/>
      <w:lvlJc w:val="left"/>
      <w:pPr>
        <w:tabs>
          <w:tab w:val="num" w:pos="3600"/>
        </w:tabs>
        <w:ind w:left="3600" w:hanging="360"/>
      </w:pPr>
      <w:rPr>
        <w:rFonts w:ascii="Courier New" w:hAnsi="Courier New"/>
      </w:rPr>
    </w:lvl>
    <w:lvl w:ilvl="5" w:tplc="13B2D2E4">
      <w:start w:val="1"/>
      <w:numFmt w:val="bullet"/>
      <w:lvlText w:val=""/>
      <w:lvlJc w:val="left"/>
      <w:pPr>
        <w:tabs>
          <w:tab w:val="num" w:pos="4320"/>
        </w:tabs>
        <w:ind w:left="4320" w:hanging="360"/>
      </w:pPr>
      <w:rPr>
        <w:rFonts w:ascii="Wingdings" w:hAnsi="Wingdings"/>
      </w:rPr>
    </w:lvl>
    <w:lvl w:ilvl="6" w:tplc="2656173A">
      <w:start w:val="1"/>
      <w:numFmt w:val="bullet"/>
      <w:lvlText w:val=""/>
      <w:lvlJc w:val="left"/>
      <w:pPr>
        <w:tabs>
          <w:tab w:val="num" w:pos="5040"/>
        </w:tabs>
        <w:ind w:left="5040" w:hanging="360"/>
      </w:pPr>
      <w:rPr>
        <w:rFonts w:ascii="Symbol" w:hAnsi="Symbol"/>
      </w:rPr>
    </w:lvl>
    <w:lvl w:ilvl="7" w:tplc="95B0E5BC">
      <w:start w:val="1"/>
      <w:numFmt w:val="bullet"/>
      <w:lvlText w:val="o"/>
      <w:lvlJc w:val="left"/>
      <w:pPr>
        <w:tabs>
          <w:tab w:val="num" w:pos="5760"/>
        </w:tabs>
        <w:ind w:left="5760" w:hanging="360"/>
      </w:pPr>
      <w:rPr>
        <w:rFonts w:ascii="Courier New" w:hAnsi="Courier New"/>
      </w:rPr>
    </w:lvl>
    <w:lvl w:ilvl="8" w:tplc="1D4AFB54">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80AA9942">
      <w:start w:val="1"/>
      <w:numFmt w:val="bullet"/>
      <w:lvlText w:val=""/>
      <w:lvlJc w:val="left"/>
      <w:pPr>
        <w:ind w:left="720" w:hanging="360"/>
      </w:pPr>
      <w:rPr>
        <w:rFonts w:ascii="Symbol" w:hAnsi="Symbol"/>
      </w:rPr>
    </w:lvl>
    <w:lvl w:ilvl="1" w:tplc="15605956">
      <w:start w:val="1"/>
      <w:numFmt w:val="bullet"/>
      <w:lvlText w:val="o"/>
      <w:lvlJc w:val="left"/>
      <w:pPr>
        <w:tabs>
          <w:tab w:val="num" w:pos="1440"/>
        </w:tabs>
        <w:ind w:left="1440" w:hanging="360"/>
      </w:pPr>
      <w:rPr>
        <w:rFonts w:ascii="Courier New" w:hAnsi="Courier New"/>
      </w:rPr>
    </w:lvl>
    <w:lvl w:ilvl="2" w:tplc="AF863DC8">
      <w:start w:val="1"/>
      <w:numFmt w:val="bullet"/>
      <w:lvlText w:val=""/>
      <w:lvlJc w:val="left"/>
      <w:pPr>
        <w:tabs>
          <w:tab w:val="num" w:pos="2160"/>
        </w:tabs>
        <w:ind w:left="2160" w:hanging="360"/>
      </w:pPr>
      <w:rPr>
        <w:rFonts w:ascii="Wingdings" w:hAnsi="Wingdings"/>
      </w:rPr>
    </w:lvl>
    <w:lvl w:ilvl="3" w:tplc="728E32D6">
      <w:start w:val="1"/>
      <w:numFmt w:val="bullet"/>
      <w:lvlText w:val=""/>
      <w:lvlJc w:val="left"/>
      <w:pPr>
        <w:tabs>
          <w:tab w:val="num" w:pos="2880"/>
        </w:tabs>
        <w:ind w:left="2880" w:hanging="360"/>
      </w:pPr>
      <w:rPr>
        <w:rFonts w:ascii="Symbol" w:hAnsi="Symbol"/>
      </w:rPr>
    </w:lvl>
    <w:lvl w:ilvl="4" w:tplc="8F402818">
      <w:start w:val="1"/>
      <w:numFmt w:val="bullet"/>
      <w:lvlText w:val="o"/>
      <w:lvlJc w:val="left"/>
      <w:pPr>
        <w:tabs>
          <w:tab w:val="num" w:pos="3600"/>
        </w:tabs>
        <w:ind w:left="3600" w:hanging="360"/>
      </w:pPr>
      <w:rPr>
        <w:rFonts w:ascii="Courier New" w:hAnsi="Courier New"/>
      </w:rPr>
    </w:lvl>
    <w:lvl w:ilvl="5" w:tplc="A420D962">
      <w:start w:val="1"/>
      <w:numFmt w:val="bullet"/>
      <w:lvlText w:val=""/>
      <w:lvlJc w:val="left"/>
      <w:pPr>
        <w:tabs>
          <w:tab w:val="num" w:pos="4320"/>
        </w:tabs>
        <w:ind w:left="4320" w:hanging="360"/>
      </w:pPr>
      <w:rPr>
        <w:rFonts w:ascii="Wingdings" w:hAnsi="Wingdings"/>
      </w:rPr>
    </w:lvl>
    <w:lvl w:ilvl="6" w:tplc="2D2C80B6">
      <w:start w:val="1"/>
      <w:numFmt w:val="bullet"/>
      <w:lvlText w:val=""/>
      <w:lvlJc w:val="left"/>
      <w:pPr>
        <w:tabs>
          <w:tab w:val="num" w:pos="5040"/>
        </w:tabs>
        <w:ind w:left="5040" w:hanging="360"/>
      </w:pPr>
      <w:rPr>
        <w:rFonts w:ascii="Symbol" w:hAnsi="Symbol"/>
      </w:rPr>
    </w:lvl>
    <w:lvl w:ilvl="7" w:tplc="57607C64">
      <w:start w:val="1"/>
      <w:numFmt w:val="bullet"/>
      <w:lvlText w:val="o"/>
      <w:lvlJc w:val="left"/>
      <w:pPr>
        <w:tabs>
          <w:tab w:val="num" w:pos="5760"/>
        </w:tabs>
        <w:ind w:left="5760" w:hanging="360"/>
      </w:pPr>
      <w:rPr>
        <w:rFonts w:ascii="Courier New" w:hAnsi="Courier New"/>
      </w:rPr>
    </w:lvl>
    <w:lvl w:ilvl="8" w:tplc="73C83BB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957C4A18">
      <w:start w:val="1"/>
      <w:numFmt w:val="bullet"/>
      <w:lvlText w:val=""/>
      <w:lvlJc w:val="left"/>
      <w:pPr>
        <w:ind w:left="720" w:hanging="360"/>
      </w:pPr>
      <w:rPr>
        <w:rFonts w:ascii="Symbol" w:hAnsi="Symbol"/>
      </w:rPr>
    </w:lvl>
    <w:lvl w:ilvl="1" w:tplc="D048080A">
      <w:start w:val="1"/>
      <w:numFmt w:val="bullet"/>
      <w:lvlText w:val="o"/>
      <w:lvlJc w:val="left"/>
      <w:pPr>
        <w:tabs>
          <w:tab w:val="num" w:pos="1440"/>
        </w:tabs>
        <w:ind w:left="1440" w:hanging="360"/>
      </w:pPr>
      <w:rPr>
        <w:rFonts w:ascii="Courier New" w:hAnsi="Courier New"/>
      </w:rPr>
    </w:lvl>
    <w:lvl w:ilvl="2" w:tplc="D43698D8">
      <w:start w:val="1"/>
      <w:numFmt w:val="bullet"/>
      <w:lvlText w:val=""/>
      <w:lvlJc w:val="left"/>
      <w:pPr>
        <w:tabs>
          <w:tab w:val="num" w:pos="2160"/>
        </w:tabs>
        <w:ind w:left="2160" w:hanging="360"/>
      </w:pPr>
      <w:rPr>
        <w:rFonts w:ascii="Wingdings" w:hAnsi="Wingdings"/>
      </w:rPr>
    </w:lvl>
    <w:lvl w:ilvl="3" w:tplc="07D6D814">
      <w:start w:val="1"/>
      <w:numFmt w:val="bullet"/>
      <w:lvlText w:val=""/>
      <w:lvlJc w:val="left"/>
      <w:pPr>
        <w:tabs>
          <w:tab w:val="num" w:pos="2880"/>
        </w:tabs>
        <w:ind w:left="2880" w:hanging="360"/>
      </w:pPr>
      <w:rPr>
        <w:rFonts w:ascii="Symbol" w:hAnsi="Symbol"/>
      </w:rPr>
    </w:lvl>
    <w:lvl w:ilvl="4" w:tplc="F7BEDEF2">
      <w:start w:val="1"/>
      <w:numFmt w:val="bullet"/>
      <w:lvlText w:val="o"/>
      <w:lvlJc w:val="left"/>
      <w:pPr>
        <w:tabs>
          <w:tab w:val="num" w:pos="3600"/>
        </w:tabs>
        <w:ind w:left="3600" w:hanging="360"/>
      </w:pPr>
      <w:rPr>
        <w:rFonts w:ascii="Courier New" w:hAnsi="Courier New"/>
      </w:rPr>
    </w:lvl>
    <w:lvl w:ilvl="5" w:tplc="77162462">
      <w:start w:val="1"/>
      <w:numFmt w:val="bullet"/>
      <w:lvlText w:val=""/>
      <w:lvlJc w:val="left"/>
      <w:pPr>
        <w:tabs>
          <w:tab w:val="num" w:pos="4320"/>
        </w:tabs>
        <w:ind w:left="4320" w:hanging="360"/>
      </w:pPr>
      <w:rPr>
        <w:rFonts w:ascii="Wingdings" w:hAnsi="Wingdings"/>
      </w:rPr>
    </w:lvl>
    <w:lvl w:ilvl="6" w:tplc="4BEC1648">
      <w:start w:val="1"/>
      <w:numFmt w:val="bullet"/>
      <w:lvlText w:val=""/>
      <w:lvlJc w:val="left"/>
      <w:pPr>
        <w:tabs>
          <w:tab w:val="num" w:pos="5040"/>
        </w:tabs>
        <w:ind w:left="5040" w:hanging="360"/>
      </w:pPr>
      <w:rPr>
        <w:rFonts w:ascii="Symbol" w:hAnsi="Symbol"/>
      </w:rPr>
    </w:lvl>
    <w:lvl w:ilvl="7" w:tplc="3F260ED6">
      <w:start w:val="1"/>
      <w:numFmt w:val="bullet"/>
      <w:lvlText w:val="o"/>
      <w:lvlJc w:val="left"/>
      <w:pPr>
        <w:tabs>
          <w:tab w:val="num" w:pos="5760"/>
        </w:tabs>
        <w:ind w:left="5760" w:hanging="360"/>
      </w:pPr>
      <w:rPr>
        <w:rFonts w:ascii="Courier New" w:hAnsi="Courier New"/>
      </w:rPr>
    </w:lvl>
    <w:lvl w:ilvl="8" w:tplc="9E7C616E">
      <w:start w:val="1"/>
      <w:numFmt w:val="bullet"/>
      <w:lvlText w:val=""/>
      <w:lvlJc w:val="left"/>
      <w:pPr>
        <w:tabs>
          <w:tab w:val="num" w:pos="6480"/>
        </w:tabs>
        <w:ind w:left="6480" w:hanging="360"/>
      </w:pPr>
      <w:rPr>
        <w:rFonts w:ascii="Wingdings" w:hAnsi="Wingdings"/>
      </w:rPr>
    </w:lvl>
  </w:abstractNum>
  <w:num w:numId="1" w16cid:durableId="1827427744">
    <w:abstractNumId w:val="1"/>
  </w:num>
  <w:num w:numId="2" w16cid:durableId="1442916835">
    <w:abstractNumId w:val="2"/>
  </w:num>
  <w:num w:numId="3" w16cid:durableId="1271551193">
    <w:abstractNumId w:val="0"/>
  </w:num>
  <w:num w:numId="4" w16cid:durableId="188029210">
    <w:abstractNumId w:val="3"/>
  </w:num>
  <w:num w:numId="5" w16cid:durableId="1967009228">
    <w:abstractNumId w:val="4"/>
  </w:num>
  <w:num w:numId="6" w16cid:durableId="501897365">
    <w:abstractNumId w:val="5"/>
  </w:num>
  <w:num w:numId="7" w16cid:durableId="1882863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5C81"/>
    <w:rsid w:val="000B6C95"/>
    <w:rsid w:val="000B79F8"/>
    <w:rsid w:val="000C1025"/>
    <w:rsid w:val="000D4C84"/>
    <w:rsid w:val="0010034E"/>
    <w:rsid w:val="001054EF"/>
    <w:rsid w:val="001205F2"/>
    <w:rsid w:val="00130698"/>
    <w:rsid w:val="00131AAF"/>
    <w:rsid w:val="00143ECB"/>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396B"/>
    <w:rsid w:val="0057779B"/>
    <w:rsid w:val="005B1588"/>
    <w:rsid w:val="005B60D4"/>
    <w:rsid w:val="005B7AA2"/>
    <w:rsid w:val="005C59DB"/>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E6C90"/>
    <w:rsid w:val="006F094D"/>
    <w:rsid w:val="006F7DC9"/>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3F98"/>
    <w:rsid w:val="00874562"/>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2167"/>
    <w:rsid w:val="00F23851"/>
    <w:rsid w:val="00F24188"/>
    <w:rsid w:val="00F45486"/>
    <w:rsid w:val="00F526E8"/>
    <w:rsid w:val="00F605FD"/>
    <w:rsid w:val="00F867B8"/>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5103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2024-10-28T11:04:00Z</dcterms:created>
  <dcterms:modified xsi:type="dcterms:W3CDTF">2024-10-28T11:04:00Z</dcterms:modified>
</cp:coreProperties>
</file>